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763C0729" w:rsidR="00E16BCF" w:rsidRDefault="00E16BCF" w:rsidP="00E16BCF">
      <w:pPr>
        <w:jc w:val="right"/>
      </w:pPr>
      <w:r>
        <w:rPr>
          <w:b/>
        </w:rPr>
        <w:t>American Society of Regional Anesthesia and Pain Medicine</w:t>
      </w:r>
    </w:p>
    <w:p w14:paraId="75D633D4" w14:textId="77EBA887" w:rsidR="00E16BCF" w:rsidRPr="00BA52C9" w:rsidRDefault="00FD41CB" w:rsidP="00E16BCF">
      <w:pPr>
        <w:rPr>
          <w:rFonts w:eastAsia="MS Mincho"/>
        </w:rPr>
      </w:pPr>
      <w:r w:rsidRPr="0003681D">
        <w:rPr>
          <w:noProof/>
        </w:rPr>
        <w:drawing>
          <wp:anchor distT="0" distB="0" distL="114300" distR="114300" simplePos="0" relativeHeight="251657728" behindDoc="0" locked="0" layoutInCell="1" allowOverlap="1" wp14:anchorId="168B0246" wp14:editId="1AA33423">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9E6E93" w:rsidRDefault="007158BB" w:rsidP="009E6E93">
      <w:pPr>
        <w:jc w:val="right"/>
        <w:rPr>
          <w:rFonts w:asciiTheme="majorHAnsi" w:hAnsiTheme="majorHAnsi"/>
          <w:b/>
          <w:color w:val="1F497D" w:themeColor="text2"/>
          <w:sz w:val="28"/>
        </w:rPr>
      </w:pPr>
      <w:r w:rsidRPr="009E6E93">
        <w:rPr>
          <w:rFonts w:asciiTheme="majorHAnsi" w:hAnsiTheme="majorHAnsi"/>
          <w:b/>
          <w:color w:val="1F497D" w:themeColor="text2"/>
          <w:sz w:val="28"/>
        </w:rP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3970F342" w:rsidR="00E16BCF" w:rsidRDefault="00770A04" w:rsidP="00951D50">
      <w:pPr>
        <w:pStyle w:val="Heading2"/>
        <w:spacing w:before="0"/>
      </w:pPr>
      <w:r>
        <w:t>Educational Support Materials</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5C63CB2A" w:rsidR="00E16BCF" w:rsidRPr="00855877" w:rsidRDefault="00A35292" w:rsidP="00951D50">
            <w:pPr>
              <w:rPr>
                <w:b/>
              </w:rPr>
            </w:pPr>
            <w:r>
              <w:rPr>
                <w:b/>
              </w:rPr>
              <w:t>Educational Support Materials</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2166B804" w:rsidR="00E16BCF" w:rsidRPr="007202F6" w:rsidRDefault="00B60FB6" w:rsidP="00770A04">
            <w:pPr>
              <w:rPr>
                <w:b/>
              </w:rPr>
            </w:pPr>
            <w:r>
              <w:rPr>
                <w:b/>
              </w:rPr>
              <w:t>0</w:t>
            </w:r>
            <w:r w:rsidR="00770A04">
              <w:rPr>
                <w:b/>
              </w:rPr>
              <w:t>9</w:t>
            </w:r>
            <w:r>
              <w:rPr>
                <w:b/>
              </w:rPr>
              <w:t>/2012</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28E14CE5" w:rsidR="00E16BCF" w:rsidRPr="007202F6" w:rsidRDefault="000A65E1" w:rsidP="00770A04">
            <w:pPr>
              <w:rPr>
                <w:b/>
              </w:rPr>
            </w:pPr>
            <w:r>
              <w:rPr>
                <w:b/>
              </w:rPr>
              <w:t xml:space="preserve">07/9/2022, </w:t>
            </w:r>
            <w:r w:rsidR="00901C9D">
              <w:rPr>
                <w:b/>
              </w:rPr>
              <w:t xml:space="preserve">08/2018, </w:t>
            </w:r>
            <w:r w:rsidR="00E744A0">
              <w:rPr>
                <w:b/>
              </w:rPr>
              <w:t>07/2017,</w:t>
            </w:r>
            <w:r w:rsidR="00901C9D">
              <w:rPr>
                <w:b/>
              </w:rPr>
              <w:t xml:space="preserve"> 05/2014, 02/2014, </w:t>
            </w:r>
            <w:r w:rsidR="00770A04">
              <w:rPr>
                <w:b/>
              </w:rPr>
              <w:t>12</w:t>
            </w:r>
            <w:r w:rsidR="00B60FB6">
              <w:rPr>
                <w:b/>
              </w:rPr>
              <w:t>/201</w:t>
            </w:r>
            <w:r w:rsidR="00770A04">
              <w:rPr>
                <w:b/>
              </w:rPr>
              <w:t>2</w:t>
            </w:r>
          </w:p>
        </w:tc>
      </w:tr>
    </w:tbl>
    <w:p w14:paraId="049C0554" w14:textId="77777777" w:rsidR="00E16BCF" w:rsidRDefault="00E16BCF" w:rsidP="00E16BCF"/>
    <w:p w14:paraId="2C9A6948" w14:textId="77777777" w:rsidR="00951D50" w:rsidRDefault="00951D50"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3EC7EDED" w14:textId="5C262B46" w:rsidR="004F0A0C" w:rsidRPr="008B477D" w:rsidRDefault="004F0A0C" w:rsidP="004F0A0C">
      <w:pPr>
        <w:rPr>
          <w:sz w:val="18"/>
        </w:rPr>
      </w:pPr>
      <w:r w:rsidRPr="008B477D">
        <w:rPr>
          <w:sz w:val="18"/>
        </w:rPr>
        <w:t>Visual presentations, handouts</w:t>
      </w:r>
      <w:r w:rsidR="006840E7">
        <w:rPr>
          <w:sz w:val="18"/>
        </w:rPr>
        <w:t>,</w:t>
      </w:r>
      <w:r w:rsidRPr="008B477D">
        <w:rPr>
          <w:sz w:val="18"/>
        </w:rPr>
        <w:t xml:space="preserve"> and other educational support materials are essential components of quality continuing medical education. Providing such materials in advance of the meeting serves several purposes that are integral to the success of the educational event: </w:t>
      </w:r>
    </w:p>
    <w:p w14:paraId="16FF6615" w14:textId="77777777" w:rsidR="004F0A0C" w:rsidRPr="008B477D" w:rsidRDefault="004F0A0C" w:rsidP="004F0A0C">
      <w:pPr>
        <w:numPr>
          <w:ilvl w:val="0"/>
          <w:numId w:val="23"/>
        </w:numPr>
        <w:rPr>
          <w:sz w:val="18"/>
        </w:rPr>
      </w:pPr>
      <w:r w:rsidRPr="008B477D">
        <w:rPr>
          <w:sz w:val="18"/>
        </w:rPr>
        <w:t xml:space="preserve">Help the learner choose between the various educational sessions </w:t>
      </w:r>
      <w:proofErr w:type="gramStart"/>
      <w:r w:rsidRPr="008B477D">
        <w:rPr>
          <w:sz w:val="18"/>
        </w:rPr>
        <w:t>in order to</w:t>
      </w:r>
      <w:proofErr w:type="gramEnd"/>
      <w:r w:rsidRPr="008B477D">
        <w:rPr>
          <w:sz w:val="18"/>
        </w:rPr>
        <w:t xml:space="preserve"> identify those that best meet their needs</w:t>
      </w:r>
    </w:p>
    <w:p w14:paraId="5EFBE3F5" w14:textId="77777777" w:rsidR="004F0A0C" w:rsidRPr="008B477D" w:rsidRDefault="004F0A0C" w:rsidP="004F0A0C">
      <w:pPr>
        <w:numPr>
          <w:ilvl w:val="0"/>
          <w:numId w:val="23"/>
        </w:numPr>
        <w:rPr>
          <w:sz w:val="18"/>
        </w:rPr>
      </w:pPr>
      <w:r w:rsidRPr="008B477D">
        <w:rPr>
          <w:sz w:val="18"/>
        </w:rPr>
        <w:t>Enable staff to provide attendees with concrete information about educational sessions</w:t>
      </w:r>
    </w:p>
    <w:p w14:paraId="00650DEB" w14:textId="3C86C2E8" w:rsidR="004F0A0C" w:rsidRPr="008B477D" w:rsidRDefault="006840E7" w:rsidP="004F0A0C">
      <w:pPr>
        <w:numPr>
          <w:ilvl w:val="0"/>
          <w:numId w:val="23"/>
        </w:numPr>
        <w:rPr>
          <w:sz w:val="18"/>
        </w:rPr>
      </w:pPr>
      <w:r>
        <w:rPr>
          <w:sz w:val="18"/>
        </w:rPr>
        <w:t>Facilitate m</w:t>
      </w:r>
      <w:r w:rsidR="004F0A0C" w:rsidRPr="008B477D">
        <w:rPr>
          <w:sz w:val="18"/>
        </w:rPr>
        <w:t>oderators</w:t>
      </w:r>
      <w:r>
        <w:rPr>
          <w:sz w:val="18"/>
        </w:rPr>
        <w:t>’</w:t>
      </w:r>
      <w:r w:rsidR="004F0A0C" w:rsidRPr="008B477D">
        <w:rPr>
          <w:sz w:val="18"/>
        </w:rPr>
        <w:t xml:space="preserve"> coordinat</w:t>
      </w:r>
      <w:r>
        <w:rPr>
          <w:sz w:val="18"/>
        </w:rPr>
        <w:t xml:space="preserve">ion of </w:t>
      </w:r>
      <w:r w:rsidR="004F0A0C" w:rsidRPr="008B477D">
        <w:rPr>
          <w:sz w:val="18"/>
        </w:rPr>
        <w:t>sessions to avoid duplication of content and support objectives</w:t>
      </w:r>
    </w:p>
    <w:p w14:paraId="3FD390AA" w14:textId="1AC2E8E5" w:rsidR="004F0A0C" w:rsidRPr="008B477D" w:rsidRDefault="006840E7" w:rsidP="004F0A0C">
      <w:pPr>
        <w:numPr>
          <w:ilvl w:val="0"/>
          <w:numId w:val="23"/>
        </w:numPr>
        <w:rPr>
          <w:sz w:val="18"/>
        </w:rPr>
      </w:pPr>
      <w:r>
        <w:rPr>
          <w:sz w:val="18"/>
        </w:rPr>
        <w:t>Allow p</w:t>
      </w:r>
      <w:r w:rsidR="004F0A0C" w:rsidRPr="008B477D">
        <w:rPr>
          <w:sz w:val="18"/>
        </w:rPr>
        <w:t>eer review of content to ensure independence from commercial bias and valid CME content</w:t>
      </w:r>
    </w:p>
    <w:p w14:paraId="3261AE9D" w14:textId="54349888" w:rsidR="004F0A0C" w:rsidRPr="008B477D" w:rsidRDefault="004F0A0C" w:rsidP="004F0A0C">
      <w:pPr>
        <w:numPr>
          <w:ilvl w:val="0"/>
          <w:numId w:val="23"/>
        </w:numPr>
        <w:rPr>
          <w:sz w:val="18"/>
        </w:rPr>
      </w:pPr>
      <w:r w:rsidRPr="008B477D">
        <w:rPr>
          <w:sz w:val="18"/>
        </w:rPr>
        <w:t>Support the learning process before, during</w:t>
      </w:r>
      <w:r w:rsidR="006840E7">
        <w:rPr>
          <w:sz w:val="18"/>
        </w:rPr>
        <w:t>,</w:t>
      </w:r>
      <w:r w:rsidRPr="008B477D">
        <w:rPr>
          <w:sz w:val="18"/>
        </w:rPr>
        <w:t xml:space="preserve"> and after the actual conference</w:t>
      </w:r>
      <w:r w:rsidR="006840E7">
        <w:rPr>
          <w:sz w:val="18"/>
        </w:rPr>
        <w:t>.</w:t>
      </w:r>
    </w:p>
    <w:p w14:paraId="7A371E42" w14:textId="77777777" w:rsidR="0062107F" w:rsidRPr="00C54F7E" w:rsidRDefault="0062107F" w:rsidP="0062107F">
      <w:pPr>
        <w:rPr>
          <w:sz w:val="18"/>
          <w:szCs w:val="18"/>
        </w:rPr>
      </w:pPr>
    </w:p>
    <w:p w14:paraId="1D7C0031" w14:textId="77777777" w:rsidR="00C54F7E" w:rsidRPr="00C54F7E" w:rsidRDefault="00C54F7E" w:rsidP="0062107F">
      <w:pPr>
        <w:rPr>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7800F26B" w:rsidR="00E16BCF" w:rsidRPr="00110D2E" w:rsidRDefault="00C00030" w:rsidP="00B40741">
            <w:pPr>
              <w:ind w:left="360"/>
              <w:rPr>
                <w:b/>
                <w:szCs w:val="18"/>
              </w:rPr>
            </w:pPr>
            <w:r w:rsidRPr="00110D2E">
              <w:rPr>
                <w:b/>
                <w:color w:val="002060"/>
                <w:sz w:val="22"/>
                <w:szCs w:val="18"/>
              </w:rPr>
              <w:t>Procedure</w:t>
            </w:r>
          </w:p>
        </w:tc>
      </w:tr>
    </w:tbl>
    <w:p w14:paraId="72F5AF37" w14:textId="77777777" w:rsidR="004F0A0C" w:rsidRPr="008B477D" w:rsidRDefault="004F0A0C" w:rsidP="004F0A0C">
      <w:pPr>
        <w:rPr>
          <w:sz w:val="18"/>
        </w:rPr>
      </w:pPr>
    </w:p>
    <w:p w14:paraId="564FBBC1" w14:textId="3535ACA1" w:rsidR="004F0A0C" w:rsidRPr="00790B37" w:rsidRDefault="004F0A0C" w:rsidP="00C03656">
      <w:pPr>
        <w:pStyle w:val="Heading1"/>
        <w:numPr>
          <w:ilvl w:val="0"/>
          <w:numId w:val="36"/>
        </w:numPr>
      </w:pPr>
      <w:r w:rsidRPr="00790B37">
        <w:t xml:space="preserve">Educational Support Materials </w:t>
      </w:r>
      <w:r w:rsidR="00367334" w:rsidRPr="00790B37">
        <w:t>per</w:t>
      </w:r>
      <w:r w:rsidRPr="00790B37">
        <w:t xml:space="preserve"> Session Type</w:t>
      </w:r>
    </w:p>
    <w:p w14:paraId="4BE2AECF" w14:textId="426D543C" w:rsidR="004F0A0C" w:rsidRPr="00E319B0" w:rsidRDefault="004F0A0C" w:rsidP="004F0A0C">
      <w:pPr>
        <w:rPr>
          <w:sz w:val="18"/>
          <w:szCs w:val="18"/>
        </w:rPr>
      </w:pPr>
      <w:r w:rsidRPr="00E319B0">
        <w:rPr>
          <w:sz w:val="18"/>
          <w:szCs w:val="18"/>
        </w:rPr>
        <w:t xml:space="preserve">Educational Support Materials </w:t>
      </w:r>
      <w:r w:rsidR="006840E7" w:rsidRPr="00E319B0">
        <w:rPr>
          <w:sz w:val="18"/>
          <w:szCs w:val="18"/>
        </w:rPr>
        <w:t>are r</w:t>
      </w:r>
      <w:r w:rsidRPr="00E319B0">
        <w:rPr>
          <w:sz w:val="18"/>
          <w:szCs w:val="18"/>
        </w:rPr>
        <w:t xml:space="preserve">equired </w:t>
      </w:r>
      <w:r w:rsidR="006840E7" w:rsidRPr="00E319B0">
        <w:rPr>
          <w:sz w:val="18"/>
          <w:szCs w:val="18"/>
        </w:rPr>
        <w:t xml:space="preserve">for the following </w:t>
      </w:r>
      <w:r w:rsidRPr="00E319B0">
        <w:rPr>
          <w:sz w:val="18"/>
          <w:szCs w:val="18"/>
        </w:rPr>
        <w:t>(see details below):</w:t>
      </w:r>
    </w:p>
    <w:p w14:paraId="525910EB" w14:textId="77777777" w:rsidR="004F0A0C" w:rsidRPr="004F0A0C" w:rsidRDefault="004F0A0C" w:rsidP="004F0A0C">
      <w:pPr>
        <w:numPr>
          <w:ilvl w:val="0"/>
          <w:numId w:val="30"/>
        </w:numPr>
        <w:rPr>
          <w:sz w:val="18"/>
          <w:szCs w:val="18"/>
        </w:rPr>
      </w:pPr>
      <w:r w:rsidRPr="004F0A0C">
        <w:rPr>
          <w:sz w:val="18"/>
          <w:szCs w:val="18"/>
        </w:rPr>
        <w:t>Main Meeting (Refresher Course, Plenary, Parallel, etc.)</w:t>
      </w:r>
    </w:p>
    <w:p w14:paraId="75A3B3BC" w14:textId="774560BA" w:rsidR="004F0A0C" w:rsidRPr="004F0A0C" w:rsidRDefault="006840E7" w:rsidP="004F0A0C">
      <w:pPr>
        <w:numPr>
          <w:ilvl w:val="0"/>
          <w:numId w:val="30"/>
        </w:numPr>
        <w:rPr>
          <w:sz w:val="18"/>
          <w:szCs w:val="18"/>
        </w:rPr>
      </w:pPr>
      <w:r>
        <w:rPr>
          <w:sz w:val="18"/>
          <w:szCs w:val="18"/>
        </w:rPr>
        <w:t>PA/NP/</w:t>
      </w:r>
      <w:r w:rsidR="004F0A0C" w:rsidRPr="004F0A0C">
        <w:rPr>
          <w:sz w:val="18"/>
          <w:szCs w:val="18"/>
        </w:rPr>
        <w:t>Nursing</w:t>
      </w:r>
      <w:r>
        <w:rPr>
          <w:sz w:val="18"/>
          <w:szCs w:val="18"/>
        </w:rPr>
        <w:t xml:space="preserve"> </w:t>
      </w:r>
      <w:r w:rsidR="004F0A0C" w:rsidRPr="004F0A0C">
        <w:rPr>
          <w:sz w:val="18"/>
          <w:szCs w:val="18"/>
        </w:rPr>
        <w:t>Programs</w:t>
      </w:r>
    </w:p>
    <w:p w14:paraId="243339A5" w14:textId="10A4DB78" w:rsidR="004F0A0C" w:rsidRPr="004F0A0C" w:rsidRDefault="004F0A0C" w:rsidP="004F0A0C">
      <w:pPr>
        <w:numPr>
          <w:ilvl w:val="0"/>
          <w:numId w:val="30"/>
        </w:numPr>
        <w:rPr>
          <w:sz w:val="18"/>
          <w:szCs w:val="18"/>
        </w:rPr>
      </w:pPr>
      <w:r w:rsidRPr="004F0A0C">
        <w:rPr>
          <w:sz w:val="18"/>
          <w:szCs w:val="18"/>
        </w:rPr>
        <w:t>Resident</w:t>
      </w:r>
      <w:r w:rsidR="006840E7">
        <w:rPr>
          <w:sz w:val="18"/>
          <w:szCs w:val="18"/>
        </w:rPr>
        <w:t>/Fellow</w:t>
      </w:r>
      <w:r w:rsidRPr="004F0A0C">
        <w:rPr>
          <w:sz w:val="18"/>
          <w:szCs w:val="18"/>
        </w:rPr>
        <w:t xml:space="preserve"> Program Lectures (except for workshop sessions)</w:t>
      </w:r>
    </w:p>
    <w:p w14:paraId="5C373CA4" w14:textId="3B9CC518" w:rsidR="004F0A0C" w:rsidRDefault="004F0A0C" w:rsidP="004F0A0C">
      <w:pPr>
        <w:numPr>
          <w:ilvl w:val="0"/>
          <w:numId w:val="30"/>
        </w:numPr>
        <w:rPr>
          <w:sz w:val="18"/>
          <w:szCs w:val="18"/>
        </w:rPr>
      </w:pPr>
      <w:r w:rsidRPr="004F0A0C">
        <w:rPr>
          <w:sz w:val="18"/>
          <w:szCs w:val="18"/>
        </w:rPr>
        <w:t>PBLDs</w:t>
      </w:r>
    </w:p>
    <w:p w14:paraId="4E1E4747" w14:textId="77777777" w:rsidR="004F0A0C" w:rsidRPr="004F0A0C" w:rsidRDefault="004F0A0C" w:rsidP="004F0A0C">
      <w:pPr>
        <w:rPr>
          <w:sz w:val="18"/>
          <w:szCs w:val="18"/>
        </w:rPr>
      </w:pPr>
    </w:p>
    <w:p w14:paraId="7AA1579D" w14:textId="09CAC792" w:rsidR="004F0A0C" w:rsidRPr="00E319B0" w:rsidRDefault="004F0A0C" w:rsidP="004F0A0C">
      <w:pPr>
        <w:rPr>
          <w:sz w:val="18"/>
          <w:szCs w:val="18"/>
        </w:rPr>
      </w:pPr>
      <w:r w:rsidRPr="00E319B0">
        <w:rPr>
          <w:sz w:val="18"/>
          <w:szCs w:val="18"/>
        </w:rPr>
        <w:t xml:space="preserve">Educational Support Materials </w:t>
      </w:r>
      <w:r w:rsidR="006840E7" w:rsidRPr="00E319B0">
        <w:rPr>
          <w:sz w:val="18"/>
          <w:szCs w:val="18"/>
        </w:rPr>
        <w:t>are not r</w:t>
      </w:r>
      <w:r w:rsidRPr="00E319B0">
        <w:rPr>
          <w:sz w:val="18"/>
          <w:szCs w:val="18"/>
        </w:rPr>
        <w:t>equired</w:t>
      </w:r>
      <w:r w:rsidR="006840E7" w:rsidRPr="00E319B0">
        <w:rPr>
          <w:sz w:val="18"/>
          <w:szCs w:val="18"/>
        </w:rPr>
        <w:t xml:space="preserve"> </w:t>
      </w:r>
      <w:r w:rsidR="00743D6C">
        <w:rPr>
          <w:sz w:val="18"/>
          <w:szCs w:val="18"/>
        </w:rPr>
        <w:t>but strongly encouraged for workshops</w:t>
      </w:r>
      <w:r w:rsidR="00713628">
        <w:rPr>
          <w:sz w:val="18"/>
          <w:szCs w:val="18"/>
        </w:rPr>
        <w:t xml:space="preserve"> (see details below)</w:t>
      </w:r>
      <w:r w:rsidR="00743D6C">
        <w:rPr>
          <w:sz w:val="18"/>
          <w:szCs w:val="18"/>
        </w:rPr>
        <w:t xml:space="preserve">. Educational Support Materials are not required for Ask the Expert Interactive Sessions.  </w:t>
      </w:r>
    </w:p>
    <w:p w14:paraId="41AEDE89" w14:textId="77777777" w:rsidR="004F0A0C" w:rsidRPr="004F0A0C" w:rsidRDefault="004F0A0C" w:rsidP="004F0A0C">
      <w:pPr>
        <w:rPr>
          <w:sz w:val="18"/>
          <w:szCs w:val="18"/>
        </w:rPr>
      </w:pPr>
    </w:p>
    <w:p w14:paraId="6C9C10AC" w14:textId="15082B99" w:rsidR="004F0A0C" w:rsidRPr="004F0A0C" w:rsidRDefault="004F0A0C" w:rsidP="004F0A0C">
      <w:pPr>
        <w:rPr>
          <w:b/>
          <w:sz w:val="18"/>
          <w:szCs w:val="18"/>
        </w:rPr>
      </w:pPr>
      <w:r w:rsidRPr="004F0A0C">
        <w:rPr>
          <w:b/>
          <w:sz w:val="18"/>
          <w:szCs w:val="18"/>
        </w:rPr>
        <w:t xml:space="preserve">Formal Lectures </w:t>
      </w:r>
    </w:p>
    <w:p w14:paraId="3A388DB2" w14:textId="6A6B7827" w:rsidR="004F0A0C" w:rsidRPr="004F0A0C" w:rsidRDefault="004F0A0C" w:rsidP="004F0A0C">
      <w:pPr>
        <w:rPr>
          <w:sz w:val="18"/>
          <w:szCs w:val="18"/>
        </w:rPr>
      </w:pPr>
      <w:r w:rsidRPr="004F0A0C">
        <w:rPr>
          <w:sz w:val="18"/>
          <w:szCs w:val="18"/>
        </w:rPr>
        <w:t xml:space="preserve">Presenters giving a formal lecture should submit a PowerPoint presentation.  </w:t>
      </w:r>
      <w:r w:rsidR="00367334">
        <w:rPr>
          <w:sz w:val="18"/>
          <w:szCs w:val="18"/>
        </w:rPr>
        <w:t xml:space="preserve">It is the </w:t>
      </w:r>
      <w:r w:rsidRPr="004F0A0C">
        <w:rPr>
          <w:sz w:val="18"/>
          <w:szCs w:val="18"/>
        </w:rPr>
        <w:t xml:space="preserve">faculty member’s responsibility to follow all copyright and fair use guidelines (see section V. below). All PowerPoint presentations must be submitted in advance for peer review and any conflict of interest </w:t>
      </w:r>
      <w:r w:rsidR="0052546B">
        <w:rPr>
          <w:sz w:val="18"/>
          <w:szCs w:val="18"/>
        </w:rPr>
        <w:t>mitigation</w:t>
      </w:r>
      <w:r w:rsidRPr="004F0A0C">
        <w:rPr>
          <w:sz w:val="18"/>
          <w:szCs w:val="18"/>
        </w:rPr>
        <w:t>.</w:t>
      </w:r>
    </w:p>
    <w:p w14:paraId="26A0BF35" w14:textId="77777777" w:rsidR="004F0A0C" w:rsidRPr="004F0A0C" w:rsidRDefault="004F0A0C" w:rsidP="004F0A0C">
      <w:pPr>
        <w:rPr>
          <w:sz w:val="18"/>
          <w:szCs w:val="18"/>
        </w:rPr>
      </w:pPr>
    </w:p>
    <w:p w14:paraId="7FD40A0D" w14:textId="77777777" w:rsidR="004F0A0C" w:rsidRPr="004F0A0C" w:rsidRDefault="004F0A0C" w:rsidP="004F0A0C">
      <w:pPr>
        <w:rPr>
          <w:sz w:val="18"/>
          <w:szCs w:val="18"/>
        </w:rPr>
      </w:pPr>
      <w:r w:rsidRPr="004F0A0C">
        <w:rPr>
          <w:sz w:val="18"/>
          <w:szCs w:val="18"/>
        </w:rPr>
        <w:t>PowerPoint Presentation</w:t>
      </w:r>
    </w:p>
    <w:p w14:paraId="04927E9A" w14:textId="757D3E1B" w:rsidR="004F0A0C" w:rsidRPr="004F0A0C" w:rsidRDefault="004F0A0C" w:rsidP="004F0A0C">
      <w:pPr>
        <w:numPr>
          <w:ilvl w:val="0"/>
          <w:numId w:val="24"/>
        </w:numPr>
        <w:rPr>
          <w:sz w:val="18"/>
          <w:szCs w:val="18"/>
        </w:rPr>
      </w:pPr>
      <w:r w:rsidRPr="004F0A0C">
        <w:rPr>
          <w:sz w:val="18"/>
          <w:szCs w:val="18"/>
        </w:rPr>
        <w:t xml:space="preserve">Title slide </w:t>
      </w:r>
      <w:r w:rsidR="006840E7">
        <w:rPr>
          <w:sz w:val="18"/>
          <w:szCs w:val="18"/>
        </w:rPr>
        <w:t xml:space="preserve">listing </w:t>
      </w:r>
      <w:r w:rsidRPr="004F0A0C">
        <w:rPr>
          <w:sz w:val="18"/>
          <w:szCs w:val="18"/>
        </w:rPr>
        <w:t xml:space="preserve">lecture title, your name, institution, and location  </w:t>
      </w:r>
    </w:p>
    <w:p w14:paraId="030F8063" w14:textId="77777777" w:rsidR="004F0A0C" w:rsidRPr="004F0A0C" w:rsidRDefault="004F0A0C" w:rsidP="004F0A0C">
      <w:pPr>
        <w:numPr>
          <w:ilvl w:val="0"/>
          <w:numId w:val="24"/>
        </w:numPr>
        <w:rPr>
          <w:sz w:val="18"/>
          <w:szCs w:val="18"/>
        </w:rPr>
      </w:pPr>
      <w:r w:rsidRPr="004F0A0C">
        <w:rPr>
          <w:sz w:val="18"/>
          <w:szCs w:val="18"/>
        </w:rPr>
        <w:t xml:space="preserve">Disclosure slide (mandatory even if nothing to disclose; presenters should use the same disclosure slide for all presentations during the meeting) </w:t>
      </w:r>
    </w:p>
    <w:p w14:paraId="04BD106A" w14:textId="77777777" w:rsidR="004F0A0C" w:rsidRPr="004F0A0C" w:rsidRDefault="004F0A0C" w:rsidP="004F0A0C">
      <w:pPr>
        <w:numPr>
          <w:ilvl w:val="0"/>
          <w:numId w:val="24"/>
        </w:numPr>
        <w:rPr>
          <w:sz w:val="18"/>
          <w:szCs w:val="18"/>
        </w:rPr>
      </w:pPr>
      <w:r w:rsidRPr="004F0A0C">
        <w:rPr>
          <w:sz w:val="18"/>
          <w:szCs w:val="18"/>
        </w:rPr>
        <w:t>Learning objective(s)</w:t>
      </w:r>
    </w:p>
    <w:p w14:paraId="642B59B2" w14:textId="77777777" w:rsidR="004F0A0C" w:rsidRPr="004F0A0C" w:rsidRDefault="004F0A0C" w:rsidP="004F0A0C">
      <w:pPr>
        <w:numPr>
          <w:ilvl w:val="0"/>
          <w:numId w:val="24"/>
        </w:numPr>
        <w:rPr>
          <w:sz w:val="18"/>
          <w:szCs w:val="18"/>
        </w:rPr>
      </w:pPr>
      <w:r w:rsidRPr="004F0A0C">
        <w:rPr>
          <w:sz w:val="18"/>
          <w:szCs w:val="18"/>
        </w:rPr>
        <w:t>Reference slide</w:t>
      </w:r>
    </w:p>
    <w:p w14:paraId="17E05479" w14:textId="77777777" w:rsidR="004F0A0C" w:rsidRPr="004F0A0C" w:rsidRDefault="004F0A0C" w:rsidP="004F0A0C">
      <w:pPr>
        <w:rPr>
          <w:sz w:val="18"/>
          <w:szCs w:val="18"/>
        </w:rPr>
      </w:pPr>
    </w:p>
    <w:p w14:paraId="1415637A" w14:textId="3565C45A" w:rsidR="004F0A0C" w:rsidRPr="004F0A0C" w:rsidRDefault="004F0A0C" w:rsidP="004F0A0C">
      <w:pPr>
        <w:pStyle w:val="ListParagraph"/>
        <w:autoSpaceDE w:val="0"/>
        <w:autoSpaceDN w:val="0"/>
        <w:ind w:left="0"/>
        <w:rPr>
          <w:b/>
          <w:bCs/>
          <w:sz w:val="18"/>
          <w:szCs w:val="18"/>
        </w:rPr>
      </w:pPr>
      <w:r w:rsidRPr="004F0A0C">
        <w:rPr>
          <w:b/>
          <w:bCs/>
          <w:sz w:val="18"/>
          <w:szCs w:val="18"/>
        </w:rPr>
        <w:t>Problem-Based Learning Discussion</w:t>
      </w:r>
      <w:r w:rsidR="006840E7">
        <w:rPr>
          <w:b/>
          <w:bCs/>
          <w:sz w:val="18"/>
          <w:szCs w:val="18"/>
        </w:rPr>
        <w:t>s</w:t>
      </w:r>
      <w:r w:rsidRPr="004F0A0C">
        <w:rPr>
          <w:b/>
          <w:bCs/>
          <w:sz w:val="18"/>
          <w:szCs w:val="18"/>
        </w:rPr>
        <w:t xml:space="preserve"> (PBLDs)</w:t>
      </w:r>
    </w:p>
    <w:p w14:paraId="1395F7AB" w14:textId="05CD91DC" w:rsidR="004F0A0C" w:rsidRPr="004F0A0C" w:rsidRDefault="00464B43" w:rsidP="004F0A0C">
      <w:pPr>
        <w:pStyle w:val="ListParagraph"/>
        <w:autoSpaceDE w:val="0"/>
        <w:autoSpaceDN w:val="0"/>
        <w:ind w:left="0"/>
        <w:rPr>
          <w:sz w:val="18"/>
          <w:szCs w:val="18"/>
        </w:rPr>
      </w:pPr>
      <w:r>
        <w:rPr>
          <w:sz w:val="18"/>
          <w:szCs w:val="18"/>
        </w:rPr>
        <w:t xml:space="preserve">The standardized ASRA </w:t>
      </w:r>
      <w:r w:rsidR="00C03656">
        <w:rPr>
          <w:sz w:val="18"/>
          <w:szCs w:val="18"/>
        </w:rPr>
        <w:t xml:space="preserve">Pain Medicine </w:t>
      </w:r>
      <w:r>
        <w:rPr>
          <w:sz w:val="18"/>
          <w:szCs w:val="18"/>
        </w:rPr>
        <w:t xml:space="preserve">PBLD form is required for all PBLD sessions. The form will be provided electronically only to all attendees online and in the meeting app. Form content includes: </w:t>
      </w:r>
    </w:p>
    <w:p w14:paraId="7B4B255F" w14:textId="77777777" w:rsidR="004F0A0C" w:rsidRPr="004F0A0C" w:rsidRDefault="004F0A0C" w:rsidP="004F0A0C">
      <w:pPr>
        <w:pStyle w:val="ListParagraph"/>
        <w:numPr>
          <w:ilvl w:val="0"/>
          <w:numId w:val="26"/>
        </w:numPr>
        <w:autoSpaceDE w:val="0"/>
        <w:autoSpaceDN w:val="0"/>
        <w:contextualSpacing w:val="0"/>
        <w:rPr>
          <w:sz w:val="18"/>
          <w:szCs w:val="18"/>
        </w:rPr>
      </w:pPr>
      <w:r w:rsidRPr="004F0A0C">
        <w:rPr>
          <w:sz w:val="18"/>
          <w:szCs w:val="18"/>
        </w:rPr>
        <w:t>~</w:t>
      </w:r>
      <w:proofErr w:type="gramStart"/>
      <w:r w:rsidRPr="004F0A0C">
        <w:rPr>
          <w:sz w:val="18"/>
          <w:szCs w:val="18"/>
        </w:rPr>
        <w:t>100 word</w:t>
      </w:r>
      <w:proofErr w:type="gramEnd"/>
      <w:r w:rsidRPr="004F0A0C">
        <w:rPr>
          <w:sz w:val="18"/>
          <w:szCs w:val="18"/>
        </w:rPr>
        <w:t xml:space="preserve"> core topic/case study</w:t>
      </w:r>
    </w:p>
    <w:p w14:paraId="0CE5ADF1" w14:textId="72E37FA2" w:rsidR="004F0A0C" w:rsidRPr="004F0A0C" w:rsidRDefault="006840E7" w:rsidP="004F0A0C">
      <w:pPr>
        <w:pStyle w:val="ListParagraph"/>
        <w:numPr>
          <w:ilvl w:val="0"/>
          <w:numId w:val="26"/>
        </w:numPr>
        <w:autoSpaceDE w:val="0"/>
        <w:autoSpaceDN w:val="0"/>
        <w:contextualSpacing w:val="0"/>
        <w:rPr>
          <w:sz w:val="18"/>
          <w:szCs w:val="18"/>
        </w:rPr>
      </w:pPr>
      <w:r>
        <w:rPr>
          <w:sz w:val="18"/>
          <w:szCs w:val="18"/>
        </w:rPr>
        <w:t>S</w:t>
      </w:r>
      <w:r w:rsidR="004F0A0C" w:rsidRPr="004F0A0C">
        <w:rPr>
          <w:sz w:val="18"/>
          <w:szCs w:val="18"/>
        </w:rPr>
        <w:t>everal questions that may be covered in the session</w:t>
      </w:r>
    </w:p>
    <w:p w14:paraId="624EB6EA" w14:textId="77777777" w:rsidR="004F0A0C" w:rsidRPr="004F0A0C" w:rsidRDefault="004F0A0C" w:rsidP="004F0A0C">
      <w:pPr>
        <w:pStyle w:val="ListParagraph"/>
        <w:numPr>
          <w:ilvl w:val="0"/>
          <w:numId w:val="26"/>
        </w:numPr>
        <w:autoSpaceDE w:val="0"/>
        <w:autoSpaceDN w:val="0"/>
        <w:contextualSpacing w:val="0"/>
        <w:rPr>
          <w:sz w:val="18"/>
          <w:szCs w:val="18"/>
        </w:rPr>
      </w:pPr>
      <w:r w:rsidRPr="004F0A0C">
        <w:rPr>
          <w:sz w:val="18"/>
          <w:szCs w:val="18"/>
        </w:rPr>
        <w:t>4-6 references</w:t>
      </w:r>
    </w:p>
    <w:p w14:paraId="00CC09FA" w14:textId="3296EDA1" w:rsidR="004F0A0C" w:rsidRDefault="004F0A0C" w:rsidP="004F0A0C">
      <w:pPr>
        <w:pStyle w:val="ListParagraph"/>
        <w:ind w:left="0"/>
        <w:rPr>
          <w:sz w:val="18"/>
          <w:szCs w:val="18"/>
        </w:rPr>
      </w:pPr>
    </w:p>
    <w:p w14:paraId="10B91078" w14:textId="63590BDC" w:rsidR="00766BFD" w:rsidRPr="0041163C" w:rsidRDefault="00766BFD" w:rsidP="00766BFD">
      <w:pPr>
        <w:pStyle w:val="ListParagraph"/>
        <w:autoSpaceDE w:val="0"/>
        <w:autoSpaceDN w:val="0"/>
        <w:ind w:left="0"/>
        <w:rPr>
          <w:b/>
          <w:bCs/>
          <w:sz w:val="18"/>
          <w:szCs w:val="18"/>
        </w:rPr>
      </w:pPr>
      <w:r>
        <w:rPr>
          <w:b/>
          <w:bCs/>
          <w:sz w:val="18"/>
          <w:szCs w:val="18"/>
        </w:rPr>
        <w:t>Workshops</w:t>
      </w:r>
      <w:r w:rsidR="0041163C">
        <w:rPr>
          <w:b/>
          <w:bCs/>
          <w:sz w:val="18"/>
          <w:szCs w:val="18"/>
        </w:rPr>
        <w:br/>
      </w:r>
      <w:r>
        <w:rPr>
          <w:sz w:val="18"/>
          <w:szCs w:val="18"/>
        </w:rPr>
        <w:t>The emphasis is on maximizing “hands-on” scanning time for the participants</w:t>
      </w:r>
      <w:r w:rsidR="003B5D0D">
        <w:rPr>
          <w:sz w:val="18"/>
          <w:szCs w:val="18"/>
        </w:rPr>
        <w:t>. The necessary foundational knowledge for effective workshop participation should be supplied as pre-work educational support material.</w:t>
      </w:r>
      <w:r w:rsidR="008F7838">
        <w:rPr>
          <w:sz w:val="18"/>
          <w:szCs w:val="18"/>
        </w:rPr>
        <w:t xml:space="preserve"> Th</w:t>
      </w:r>
      <w:r w:rsidR="00D54F29">
        <w:rPr>
          <w:sz w:val="18"/>
          <w:szCs w:val="18"/>
        </w:rPr>
        <w:t xml:space="preserve">e exact content is at the discretion of the Program and Workshop Chair, in consultation with workshop leads, but should include some or </w:t>
      </w:r>
      <w:proofErr w:type="gramStart"/>
      <w:r w:rsidR="00D54F29">
        <w:rPr>
          <w:sz w:val="18"/>
          <w:szCs w:val="18"/>
        </w:rPr>
        <w:t>all of</w:t>
      </w:r>
      <w:proofErr w:type="gramEnd"/>
      <w:r w:rsidR="00D54F29">
        <w:rPr>
          <w:sz w:val="18"/>
          <w:szCs w:val="18"/>
        </w:rPr>
        <w:t xml:space="preserve"> the following:</w:t>
      </w:r>
    </w:p>
    <w:p w14:paraId="75E3E0E9" w14:textId="77777777" w:rsidR="00D54F29" w:rsidRDefault="00D54F29" w:rsidP="00766BFD">
      <w:pPr>
        <w:pStyle w:val="ListParagraph"/>
        <w:numPr>
          <w:ilvl w:val="0"/>
          <w:numId w:val="26"/>
        </w:numPr>
        <w:autoSpaceDE w:val="0"/>
        <w:autoSpaceDN w:val="0"/>
        <w:contextualSpacing w:val="0"/>
        <w:rPr>
          <w:sz w:val="18"/>
          <w:szCs w:val="18"/>
        </w:rPr>
      </w:pPr>
      <w:r>
        <w:rPr>
          <w:sz w:val="18"/>
          <w:szCs w:val="18"/>
        </w:rPr>
        <w:lastRenderedPageBreak/>
        <w:t>Pre-recorded introductory lecture for online viewing</w:t>
      </w:r>
    </w:p>
    <w:p w14:paraId="3119AEBB" w14:textId="7FE93448" w:rsidR="00D54F29" w:rsidRPr="00713628" w:rsidRDefault="00D54F29">
      <w:pPr>
        <w:pStyle w:val="ListParagraph"/>
        <w:numPr>
          <w:ilvl w:val="0"/>
          <w:numId w:val="26"/>
        </w:numPr>
        <w:autoSpaceDE w:val="0"/>
        <w:autoSpaceDN w:val="0"/>
        <w:contextualSpacing w:val="0"/>
        <w:rPr>
          <w:sz w:val="18"/>
          <w:szCs w:val="18"/>
        </w:rPr>
      </w:pPr>
      <w:r>
        <w:rPr>
          <w:sz w:val="18"/>
          <w:szCs w:val="18"/>
        </w:rPr>
        <w:t xml:space="preserve">Curated collection of key references, and </w:t>
      </w:r>
      <w:r w:rsidR="00713628">
        <w:rPr>
          <w:sz w:val="18"/>
          <w:szCs w:val="18"/>
        </w:rPr>
        <w:t>readily accessible</w:t>
      </w:r>
      <w:r>
        <w:rPr>
          <w:sz w:val="18"/>
          <w:szCs w:val="18"/>
        </w:rPr>
        <w:t xml:space="preserve"> online learning resources: articles, videos, </w:t>
      </w:r>
      <w:proofErr w:type="spellStart"/>
      <w:r>
        <w:rPr>
          <w:sz w:val="18"/>
          <w:szCs w:val="18"/>
        </w:rPr>
        <w:t>etc</w:t>
      </w:r>
      <w:proofErr w:type="spellEnd"/>
    </w:p>
    <w:p w14:paraId="2066B01B" w14:textId="77777777" w:rsidR="00AC3F58" w:rsidRDefault="00D54F29" w:rsidP="00AC3F58">
      <w:pPr>
        <w:pStyle w:val="ListParagraph"/>
        <w:numPr>
          <w:ilvl w:val="0"/>
          <w:numId w:val="26"/>
        </w:numPr>
        <w:autoSpaceDE w:val="0"/>
        <w:autoSpaceDN w:val="0"/>
        <w:contextualSpacing w:val="0"/>
        <w:rPr>
          <w:sz w:val="18"/>
          <w:szCs w:val="18"/>
        </w:rPr>
      </w:pPr>
      <w:r>
        <w:rPr>
          <w:sz w:val="18"/>
          <w:szCs w:val="18"/>
        </w:rPr>
        <w:t>5-6 MCQs for pre-workshop and post-workshop assessment, with an accompanying answer sheet with brief explanations</w:t>
      </w:r>
    </w:p>
    <w:p w14:paraId="2EA75C91" w14:textId="3D285EE7" w:rsidR="004F0A0C" w:rsidRDefault="00D54F29" w:rsidP="00AC3F58">
      <w:pPr>
        <w:pStyle w:val="ListParagraph"/>
        <w:numPr>
          <w:ilvl w:val="0"/>
          <w:numId w:val="26"/>
        </w:numPr>
        <w:autoSpaceDE w:val="0"/>
        <w:autoSpaceDN w:val="0"/>
        <w:contextualSpacing w:val="0"/>
        <w:rPr>
          <w:sz w:val="18"/>
          <w:szCs w:val="18"/>
        </w:rPr>
      </w:pPr>
      <w:r w:rsidRPr="00AC3F58">
        <w:rPr>
          <w:sz w:val="18"/>
          <w:szCs w:val="18"/>
        </w:rPr>
        <w:t>A case scenario / study with questions to ponder, along the lines of a PBLD, as a means of setting context for the techniques and skills presented in the workshop</w:t>
      </w:r>
    </w:p>
    <w:p w14:paraId="50CD982D" w14:textId="77777777" w:rsidR="00AC3F58" w:rsidRPr="00AC3F58" w:rsidRDefault="00AC3F58" w:rsidP="00AC3F58">
      <w:pPr>
        <w:pStyle w:val="ListParagraph"/>
        <w:autoSpaceDE w:val="0"/>
        <w:autoSpaceDN w:val="0"/>
        <w:contextualSpacing w:val="0"/>
        <w:rPr>
          <w:sz w:val="18"/>
          <w:szCs w:val="18"/>
        </w:rPr>
      </w:pPr>
    </w:p>
    <w:p w14:paraId="6596E89D" w14:textId="341CC89E" w:rsidR="004F0A0C" w:rsidRPr="004F0A0C" w:rsidRDefault="004F0A0C" w:rsidP="00C03656">
      <w:pPr>
        <w:pStyle w:val="Heading1"/>
      </w:pPr>
      <w:r w:rsidRPr="004F0A0C">
        <w:t xml:space="preserve">Conflict of Interest </w:t>
      </w:r>
      <w:r w:rsidR="00DB3933">
        <w:t xml:space="preserve">Considerations and </w:t>
      </w:r>
      <w:r w:rsidR="003E532F">
        <w:t>Mitigation</w:t>
      </w:r>
    </w:p>
    <w:p w14:paraId="4F191083" w14:textId="77777777" w:rsidR="005F7BEF" w:rsidRDefault="00DB3933" w:rsidP="00DB3933">
      <w:pPr>
        <w:rPr>
          <w:sz w:val="18"/>
          <w:szCs w:val="18"/>
        </w:rPr>
      </w:pPr>
      <w:r>
        <w:rPr>
          <w:sz w:val="18"/>
          <w:szCs w:val="18"/>
        </w:rPr>
        <w:t>All educational material should be carefully checked for potential conflict of interest (COI) issues</w:t>
      </w:r>
      <w:r w:rsidR="0023664F">
        <w:rPr>
          <w:sz w:val="18"/>
          <w:szCs w:val="18"/>
        </w:rPr>
        <w:t xml:space="preserve">, and </w:t>
      </w:r>
      <w:r w:rsidR="00CF7512">
        <w:rPr>
          <w:sz w:val="18"/>
          <w:szCs w:val="18"/>
        </w:rPr>
        <w:t xml:space="preserve">must </w:t>
      </w:r>
      <w:r w:rsidR="0023664F">
        <w:rPr>
          <w:sz w:val="18"/>
          <w:szCs w:val="18"/>
        </w:rPr>
        <w:t>adhere to the following:</w:t>
      </w:r>
    </w:p>
    <w:p w14:paraId="75A0A3AA" w14:textId="77777777" w:rsidR="005F7BEF" w:rsidRDefault="00DB3933" w:rsidP="00DB3933">
      <w:pPr>
        <w:pStyle w:val="ListParagraph"/>
        <w:numPr>
          <w:ilvl w:val="0"/>
          <w:numId w:val="39"/>
        </w:numPr>
        <w:rPr>
          <w:sz w:val="18"/>
          <w:szCs w:val="18"/>
        </w:rPr>
      </w:pPr>
      <w:r w:rsidRPr="005F7BEF">
        <w:rPr>
          <w:sz w:val="18"/>
          <w:szCs w:val="18"/>
        </w:rPr>
        <w:t>Recommendations involving clinical medicine are based on the best available evidence.</w:t>
      </w:r>
    </w:p>
    <w:p w14:paraId="33D2630E" w14:textId="77777777" w:rsidR="005F7BEF" w:rsidRDefault="00DB3933" w:rsidP="00DB3933">
      <w:pPr>
        <w:pStyle w:val="ListParagraph"/>
        <w:numPr>
          <w:ilvl w:val="0"/>
          <w:numId w:val="39"/>
        </w:numPr>
        <w:rPr>
          <w:sz w:val="18"/>
          <w:szCs w:val="18"/>
        </w:rPr>
      </w:pPr>
      <w:r w:rsidRPr="005F7BEF">
        <w:rPr>
          <w:sz w:val="18"/>
          <w:szCs w:val="18"/>
        </w:rPr>
        <w:t>Scientific research cited conforms to standards accepted by the scientific community.</w:t>
      </w:r>
    </w:p>
    <w:p w14:paraId="3B8C4AE7" w14:textId="77777777" w:rsidR="005F7BEF" w:rsidRDefault="00DB3933" w:rsidP="00DB3933">
      <w:pPr>
        <w:pStyle w:val="ListParagraph"/>
        <w:numPr>
          <w:ilvl w:val="0"/>
          <w:numId w:val="39"/>
        </w:numPr>
        <w:rPr>
          <w:sz w:val="18"/>
          <w:szCs w:val="18"/>
        </w:rPr>
      </w:pPr>
      <w:r w:rsidRPr="005F7BEF">
        <w:rPr>
          <w:sz w:val="18"/>
          <w:szCs w:val="18"/>
        </w:rPr>
        <w:t>No promotional content of a commercial entity (includes product/trade names, photos, logos, company names, etc.). Logos appearing on ultrasound images/machines should not be visible in presentations.</w:t>
      </w:r>
    </w:p>
    <w:p w14:paraId="39B32E72" w14:textId="390C1E7A" w:rsidR="005F7BEF" w:rsidRDefault="00DB3933" w:rsidP="004F0A0C">
      <w:pPr>
        <w:pStyle w:val="ListParagraph"/>
        <w:numPr>
          <w:ilvl w:val="0"/>
          <w:numId w:val="39"/>
        </w:numPr>
        <w:rPr>
          <w:sz w:val="18"/>
          <w:szCs w:val="18"/>
        </w:rPr>
      </w:pPr>
      <w:r w:rsidRPr="005F7BEF">
        <w:rPr>
          <w:sz w:val="18"/>
          <w:szCs w:val="18"/>
        </w:rPr>
        <w:t xml:space="preserve">Use of scientific/generic names; trade names should be used only if </w:t>
      </w:r>
      <w:r w:rsidR="00250027" w:rsidRPr="005F7BEF">
        <w:rPr>
          <w:sz w:val="18"/>
          <w:szCs w:val="18"/>
        </w:rPr>
        <w:t>necessary</w:t>
      </w:r>
      <w:r w:rsidRPr="005F7BEF">
        <w:rPr>
          <w:sz w:val="18"/>
          <w:szCs w:val="18"/>
        </w:rPr>
        <w:t>, and in those cases the name may be included parenthetically once, but no more. If more than one company makes the product, all applicable trade names should be identified.</w:t>
      </w:r>
    </w:p>
    <w:p w14:paraId="5E4CA3BF" w14:textId="50003191" w:rsidR="00E3686B" w:rsidRPr="005F7BEF" w:rsidRDefault="00E3686B" w:rsidP="004F0A0C">
      <w:pPr>
        <w:pStyle w:val="ListParagraph"/>
        <w:numPr>
          <w:ilvl w:val="0"/>
          <w:numId w:val="39"/>
        </w:numPr>
        <w:rPr>
          <w:sz w:val="18"/>
          <w:szCs w:val="18"/>
        </w:rPr>
      </w:pPr>
      <w:r w:rsidRPr="005F7BEF">
        <w:rPr>
          <w:sz w:val="18"/>
          <w:szCs w:val="18"/>
        </w:rPr>
        <w:t>The workshop lead will work to</w:t>
      </w:r>
      <w:r w:rsidR="00250027">
        <w:rPr>
          <w:sz w:val="18"/>
          <w:szCs w:val="18"/>
        </w:rPr>
        <w:t xml:space="preserve"> prevent</w:t>
      </w:r>
      <w:r w:rsidRPr="005F7BEF">
        <w:rPr>
          <w:sz w:val="18"/>
          <w:szCs w:val="18"/>
        </w:rPr>
        <w:t xml:space="preserve"> conflict of interest with equipment providers as the representative </w:t>
      </w:r>
      <w:r w:rsidR="004533FE" w:rsidRPr="005F7BEF">
        <w:rPr>
          <w:sz w:val="18"/>
          <w:szCs w:val="18"/>
        </w:rPr>
        <w:t xml:space="preserve">of ASRA Pain Medicine in the room.  </w:t>
      </w:r>
    </w:p>
    <w:p w14:paraId="1717D2EE" w14:textId="77777777" w:rsidR="004F0A0C" w:rsidRPr="004F0A0C" w:rsidRDefault="004F0A0C" w:rsidP="004F0A0C">
      <w:pPr>
        <w:rPr>
          <w:b/>
          <w:bCs/>
          <w:sz w:val="18"/>
          <w:szCs w:val="18"/>
        </w:rPr>
      </w:pPr>
    </w:p>
    <w:p w14:paraId="6BB31AF5" w14:textId="1C3123A5" w:rsidR="003A62E9" w:rsidRPr="003A62E9" w:rsidRDefault="004F0A0C" w:rsidP="003A62E9">
      <w:pPr>
        <w:pStyle w:val="Heading1"/>
      </w:pPr>
      <w:r w:rsidRPr="004F0A0C">
        <w:t>Copyright Guidelines</w:t>
      </w:r>
    </w:p>
    <w:p w14:paraId="5FD5BB78" w14:textId="04C943EC" w:rsidR="004F0A0C" w:rsidRPr="004F0A0C" w:rsidRDefault="004F0A0C" w:rsidP="003A62E9">
      <w:pPr>
        <w:rPr>
          <w:sz w:val="18"/>
          <w:szCs w:val="18"/>
        </w:rPr>
      </w:pPr>
      <w:r w:rsidRPr="004F0A0C">
        <w:rPr>
          <w:sz w:val="18"/>
          <w:szCs w:val="18"/>
        </w:rPr>
        <w:t xml:space="preserve">All copyrighted material </w:t>
      </w:r>
      <w:r w:rsidR="003A62E9">
        <w:rPr>
          <w:sz w:val="18"/>
          <w:szCs w:val="18"/>
        </w:rPr>
        <w:t xml:space="preserve">adheres to fair use </w:t>
      </w:r>
      <w:r w:rsidR="00A91D95">
        <w:rPr>
          <w:sz w:val="18"/>
          <w:szCs w:val="18"/>
        </w:rPr>
        <w:t>and is</w:t>
      </w:r>
      <w:r w:rsidRPr="004F0A0C">
        <w:rPr>
          <w:sz w:val="18"/>
          <w:szCs w:val="18"/>
        </w:rPr>
        <w:t xml:space="preserve"> appropriately cited</w:t>
      </w:r>
      <w:r w:rsidR="00A91D95">
        <w:rPr>
          <w:sz w:val="18"/>
          <w:szCs w:val="18"/>
        </w:rPr>
        <w:t xml:space="preserve">. </w:t>
      </w:r>
    </w:p>
    <w:p w14:paraId="4E448B4E" w14:textId="77777777" w:rsidR="004F0A0C" w:rsidRPr="004F0A0C" w:rsidRDefault="004F0A0C" w:rsidP="004F0A0C">
      <w:pPr>
        <w:rPr>
          <w:sz w:val="18"/>
          <w:szCs w:val="18"/>
        </w:rPr>
      </w:pPr>
    </w:p>
    <w:p w14:paraId="36A118C3" w14:textId="2569FEDC" w:rsidR="004F0A0C" w:rsidRPr="004F0A0C" w:rsidRDefault="004F0A0C" w:rsidP="004F0A0C">
      <w:pPr>
        <w:rPr>
          <w:b/>
          <w:sz w:val="18"/>
          <w:szCs w:val="18"/>
        </w:rPr>
      </w:pPr>
      <w:r w:rsidRPr="004F0A0C">
        <w:rPr>
          <w:b/>
          <w:sz w:val="18"/>
          <w:szCs w:val="18"/>
        </w:rPr>
        <w:t xml:space="preserve">ASRA </w:t>
      </w:r>
      <w:r w:rsidR="00C03656">
        <w:rPr>
          <w:b/>
          <w:sz w:val="18"/>
          <w:szCs w:val="18"/>
        </w:rPr>
        <w:t xml:space="preserve">Pain Medicine </w:t>
      </w:r>
      <w:r w:rsidRPr="004F0A0C">
        <w:rPr>
          <w:b/>
          <w:sz w:val="18"/>
          <w:szCs w:val="18"/>
        </w:rPr>
        <w:t xml:space="preserve">Owned Resources </w:t>
      </w:r>
    </w:p>
    <w:p w14:paraId="5D3FBA1E" w14:textId="0D856B19" w:rsidR="004F0A0C" w:rsidRDefault="004F0A0C" w:rsidP="004F0A0C">
      <w:pPr>
        <w:pStyle w:val="CommentText"/>
        <w:numPr>
          <w:ilvl w:val="0"/>
          <w:numId w:val="29"/>
        </w:numPr>
        <w:rPr>
          <w:sz w:val="18"/>
          <w:szCs w:val="18"/>
        </w:rPr>
      </w:pPr>
      <w:r w:rsidRPr="004F0A0C">
        <w:rPr>
          <w:sz w:val="18"/>
          <w:szCs w:val="18"/>
        </w:rPr>
        <w:t xml:space="preserve">Any figure, table, or other content published in the official ASRA </w:t>
      </w:r>
      <w:r w:rsidR="00C03656">
        <w:rPr>
          <w:sz w:val="18"/>
          <w:szCs w:val="18"/>
        </w:rPr>
        <w:t xml:space="preserve">Pain Medicine </w:t>
      </w:r>
      <w:r w:rsidRPr="004F0A0C">
        <w:rPr>
          <w:sz w:val="18"/>
          <w:szCs w:val="18"/>
        </w:rPr>
        <w:t xml:space="preserve">journal, </w:t>
      </w:r>
      <w:r w:rsidRPr="00E319B0">
        <w:rPr>
          <w:i/>
          <w:sz w:val="18"/>
          <w:szCs w:val="18"/>
        </w:rPr>
        <w:t>Regional Anesthesia and Pain Medicine</w:t>
      </w:r>
      <w:r w:rsidRPr="004F0A0C">
        <w:rPr>
          <w:sz w:val="18"/>
          <w:szCs w:val="18"/>
        </w:rPr>
        <w:t xml:space="preserve"> (</w:t>
      </w:r>
      <w:r w:rsidRPr="00E319B0">
        <w:rPr>
          <w:i/>
          <w:sz w:val="18"/>
          <w:szCs w:val="18"/>
        </w:rPr>
        <w:t>RAPM</w:t>
      </w:r>
      <w:r w:rsidRPr="004F0A0C">
        <w:rPr>
          <w:sz w:val="18"/>
          <w:szCs w:val="18"/>
        </w:rPr>
        <w:t>), and not otherwise owned by an entity other than ASRA</w:t>
      </w:r>
      <w:r w:rsidR="00C03656">
        <w:rPr>
          <w:sz w:val="18"/>
          <w:szCs w:val="18"/>
        </w:rPr>
        <w:t xml:space="preserve"> Pain Medicine</w:t>
      </w:r>
      <w:r w:rsidRPr="004F0A0C">
        <w:rPr>
          <w:sz w:val="18"/>
          <w:szCs w:val="18"/>
        </w:rPr>
        <w:t xml:space="preserve">, can be used without copyright permission. </w:t>
      </w:r>
    </w:p>
    <w:p w14:paraId="526A4D5C" w14:textId="47247CC7" w:rsidR="00A32797" w:rsidRPr="00A32797" w:rsidRDefault="00A32797" w:rsidP="00A32797">
      <w:pPr>
        <w:pStyle w:val="ListParagraph"/>
        <w:numPr>
          <w:ilvl w:val="0"/>
          <w:numId w:val="29"/>
        </w:numPr>
        <w:rPr>
          <w:sz w:val="18"/>
          <w:szCs w:val="18"/>
          <w:lang w:val="en-GB"/>
        </w:rPr>
      </w:pPr>
      <w:r w:rsidRPr="00B56CC2">
        <w:rPr>
          <w:sz w:val="18"/>
          <w:szCs w:val="18"/>
        </w:rPr>
        <w:t xml:space="preserve">If ASRA Pain Medicine would like to reproduce content from ASRA Pain Medicine’s official journal (RAPM) and distribute it as an educational support material, formal request for permission is not required. This is true even when seeking to reprint an item in its entirety (e.g., a full article). However, the journal publisher, </w:t>
      </w:r>
      <w:r w:rsidRPr="00B56CC2">
        <w:rPr>
          <w:sz w:val="18"/>
          <w:szCs w:val="18"/>
          <w:lang w:val="en-GB"/>
        </w:rPr>
        <w:t xml:space="preserve">BMJ, requires that a full acknowledgement be included to document the re-use. Example of acknowledgement format: </w:t>
      </w:r>
      <w:r w:rsidRPr="00B56CC2">
        <w:rPr>
          <w:sz w:val="18"/>
          <w:szCs w:val="18"/>
        </w:rPr>
        <w:t xml:space="preserve">This article reprinted with permission from </w:t>
      </w:r>
      <w:r w:rsidRPr="00B56CC2">
        <w:rPr>
          <w:i/>
          <w:iCs/>
          <w:sz w:val="18"/>
          <w:szCs w:val="18"/>
          <w:lang w:val="en-GB"/>
        </w:rPr>
        <w:t>Regional Anesthesia &amp; Pain Medicine</w:t>
      </w:r>
      <w:r w:rsidRPr="00B56CC2">
        <w:rPr>
          <w:sz w:val="18"/>
          <w:szCs w:val="18"/>
          <w:lang w:val="en-GB"/>
        </w:rPr>
        <w:t xml:space="preserve">: </w:t>
      </w:r>
      <w:hyperlink r:id="rId9" w:history="1">
        <w:r w:rsidRPr="00B56CC2">
          <w:rPr>
            <w:rStyle w:val="Hyperlink"/>
            <w:color w:val="auto"/>
            <w:sz w:val="18"/>
            <w:szCs w:val="18"/>
            <w:lang w:val="en-GB"/>
          </w:rPr>
          <w:t>November/December 2011, Volume 36, Issue 6, p 592</w:t>
        </w:r>
      </w:hyperlink>
      <w:r w:rsidRPr="00B56CC2">
        <w:rPr>
          <w:sz w:val="18"/>
          <w:szCs w:val="18"/>
          <w:lang w:val="en-GB"/>
        </w:rPr>
        <w:t>-605. © American Society of Regional Anesthesia and Pain Medicine.</w:t>
      </w:r>
    </w:p>
    <w:p w14:paraId="70D40376" w14:textId="160F23C8" w:rsidR="004F0A0C" w:rsidRDefault="004F0A0C" w:rsidP="004F0A0C">
      <w:pPr>
        <w:numPr>
          <w:ilvl w:val="0"/>
          <w:numId w:val="29"/>
        </w:numPr>
        <w:rPr>
          <w:sz w:val="18"/>
          <w:szCs w:val="18"/>
        </w:rPr>
      </w:pPr>
      <w:r w:rsidRPr="004F0A0C">
        <w:rPr>
          <w:sz w:val="18"/>
          <w:szCs w:val="18"/>
        </w:rPr>
        <w:t xml:space="preserve">Similarly, an image </w:t>
      </w:r>
      <w:r w:rsidR="00E319B0">
        <w:rPr>
          <w:sz w:val="18"/>
          <w:szCs w:val="18"/>
        </w:rPr>
        <w:t>from</w:t>
      </w:r>
      <w:r w:rsidRPr="004F0A0C">
        <w:rPr>
          <w:sz w:val="18"/>
          <w:szCs w:val="18"/>
        </w:rPr>
        <w:t xml:space="preserve"> the “ASRA </w:t>
      </w:r>
      <w:r w:rsidR="00C03656">
        <w:rPr>
          <w:sz w:val="18"/>
          <w:szCs w:val="18"/>
        </w:rPr>
        <w:t xml:space="preserve">Pain Medicine </w:t>
      </w:r>
      <w:r w:rsidRPr="004F0A0C">
        <w:rPr>
          <w:sz w:val="18"/>
          <w:szCs w:val="18"/>
        </w:rPr>
        <w:t xml:space="preserve">Image Library” can be used without additional permissions </w:t>
      </w:r>
      <w:proofErr w:type="gramStart"/>
      <w:r w:rsidRPr="004F0A0C">
        <w:rPr>
          <w:sz w:val="18"/>
          <w:szCs w:val="18"/>
        </w:rPr>
        <w:t>as long as</w:t>
      </w:r>
      <w:proofErr w:type="gramEnd"/>
      <w:r w:rsidRPr="004F0A0C">
        <w:rPr>
          <w:sz w:val="18"/>
          <w:szCs w:val="18"/>
        </w:rPr>
        <w:t xml:space="preserve"> it is being used for educational purposes only</w:t>
      </w:r>
      <w:r w:rsidR="00AA0151">
        <w:rPr>
          <w:sz w:val="18"/>
          <w:szCs w:val="18"/>
        </w:rPr>
        <w:t>.</w:t>
      </w:r>
    </w:p>
    <w:p w14:paraId="4F37511A" w14:textId="77777777" w:rsidR="004F0A0C" w:rsidRPr="004F0A0C" w:rsidRDefault="004F0A0C" w:rsidP="004F0A0C">
      <w:pPr>
        <w:rPr>
          <w:sz w:val="18"/>
          <w:szCs w:val="18"/>
        </w:rPr>
      </w:pPr>
    </w:p>
    <w:p w14:paraId="182F37AD" w14:textId="65E3700B" w:rsidR="004F0A0C" w:rsidRPr="004F0A0C" w:rsidRDefault="004F0A0C" w:rsidP="00C03656">
      <w:pPr>
        <w:pStyle w:val="Heading1"/>
      </w:pPr>
      <w:r w:rsidRPr="004F0A0C">
        <w:t>Patient</w:t>
      </w:r>
      <w:r w:rsidR="006840E7">
        <w:t>-</w:t>
      </w:r>
      <w:r w:rsidRPr="004F0A0C">
        <w:t>Protected Health Information</w:t>
      </w:r>
    </w:p>
    <w:p w14:paraId="17D61693" w14:textId="71AD5ECF" w:rsidR="004F0A0C" w:rsidRPr="004F0A0C" w:rsidRDefault="004F0A0C" w:rsidP="004F0A0C">
      <w:pPr>
        <w:tabs>
          <w:tab w:val="left" w:pos="-720"/>
          <w:tab w:val="left" w:pos="0"/>
        </w:tabs>
        <w:suppressAutoHyphens/>
        <w:rPr>
          <w:bCs/>
          <w:sz w:val="18"/>
          <w:szCs w:val="18"/>
        </w:rPr>
      </w:pPr>
      <w:r w:rsidRPr="004F0A0C">
        <w:rPr>
          <w:bCs/>
          <w:sz w:val="18"/>
          <w:szCs w:val="18"/>
        </w:rPr>
        <w:t>The faculty member is responsible for ensuring that no patient</w:t>
      </w:r>
      <w:r w:rsidR="006840E7">
        <w:rPr>
          <w:bCs/>
          <w:sz w:val="18"/>
          <w:szCs w:val="18"/>
        </w:rPr>
        <w:t>-p</w:t>
      </w:r>
      <w:r w:rsidRPr="004F0A0C">
        <w:rPr>
          <w:bCs/>
          <w:sz w:val="18"/>
          <w:szCs w:val="18"/>
        </w:rPr>
        <w:t xml:space="preserve">rotected </w:t>
      </w:r>
      <w:r w:rsidR="006840E7">
        <w:rPr>
          <w:bCs/>
          <w:sz w:val="18"/>
          <w:szCs w:val="18"/>
        </w:rPr>
        <w:t>h</w:t>
      </w:r>
      <w:r w:rsidRPr="004F0A0C">
        <w:rPr>
          <w:bCs/>
          <w:sz w:val="18"/>
          <w:szCs w:val="18"/>
        </w:rPr>
        <w:t xml:space="preserve">ealth </w:t>
      </w:r>
      <w:r w:rsidR="006840E7">
        <w:rPr>
          <w:bCs/>
          <w:sz w:val="18"/>
          <w:szCs w:val="18"/>
        </w:rPr>
        <w:t>i</w:t>
      </w:r>
      <w:r w:rsidRPr="004F0A0C">
        <w:rPr>
          <w:bCs/>
          <w:sz w:val="18"/>
          <w:szCs w:val="18"/>
        </w:rPr>
        <w:t xml:space="preserve">nformation is included in the submitted materials without the patient’s written permission, or that such materials have been thoroughly de-identified. </w:t>
      </w:r>
      <w:r w:rsidRPr="004F0A0C">
        <w:rPr>
          <w:sz w:val="18"/>
          <w:szCs w:val="18"/>
        </w:rPr>
        <w:t>Although not required at submission of materials, the faculty member must be able to produce the written permissions upon request.</w:t>
      </w:r>
    </w:p>
    <w:p w14:paraId="0B2CBFDA" w14:textId="77777777" w:rsidR="004F0A0C" w:rsidRPr="004F0A0C" w:rsidRDefault="004F0A0C" w:rsidP="004F0A0C">
      <w:pPr>
        <w:tabs>
          <w:tab w:val="left" w:pos="-720"/>
          <w:tab w:val="left" w:pos="0"/>
        </w:tabs>
        <w:suppressAutoHyphens/>
        <w:rPr>
          <w:bCs/>
          <w:sz w:val="18"/>
          <w:szCs w:val="18"/>
        </w:rPr>
      </w:pPr>
    </w:p>
    <w:p w14:paraId="4EC8B562" w14:textId="77777777" w:rsidR="004F0A0C" w:rsidRPr="004F0A0C" w:rsidRDefault="004F0A0C" w:rsidP="00C03656">
      <w:pPr>
        <w:pStyle w:val="Heading1"/>
      </w:pPr>
      <w:r w:rsidRPr="004F0A0C">
        <w:t>Institutional Review Board (IRB) Approval</w:t>
      </w:r>
    </w:p>
    <w:p w14:paraId="4FDA98B6" w14:textId="59D9C1E5" w:rsidR="004F0A0C" w:rsidRPr="00A32797" w:rsidRDefault="006840E7" w:rsidP="004F0A0C">
      <w:pPr>
        <w:tabs>
          <w:tab w:val="left" w:pos="-720"/>
          <w:tab w:val="left" w:pos="0"/>
        </w:tabs>
        <w:suppressAutoHyphens/>
        <w:rPr>
          <w:sz w:val="18"/>
          <w:szCs w:val="18"/>
        </w:rPr>
      </w:pPr>
      <w:r>
        <w:rPr>
          <w:bCs/>
          <w:sz w:val="18"/>
          <w:szCs w:val="18"/>
        </w:rPr>
        <w:t>T</w:t>
      </w:r>
      <w:r w:rsidR="004F0A0C" w:rsidRPr="004F0A0C">
        <w:rPr>
          <w:bCs/>
          <w:sz w:val="18"/>
          <w:szCs w:val="18"/>
        </w:rPr>
        <w:t>he faculty member</w:t>
      </w:r>
      <w:r>
        <w:rPr>
          <w:bCs/>
          <w:sz w:val="18"/>
          <w:szCs w:val="18"/>
        </w:rPr>
        <w:t xml:space="preserve"> is </w:t>
      </w:r>
      <w:r w:rsidR="004F0A0C" w:rsidRPr="004F0A0C">
        <w:rPr>
          <w:bCs/>
          <w:sz w:val="18"/>
          <w:szCs w:val="18"/>
        </w:rPr>
        <w:t>responsib</w:t>
      </w:r>
      <w:r>
        <w:rPr>
          <w:bCs/>
          <w:sz w:val="18"/>
          <w:szCs w:val="18"/>
        </w:rPr>
        <w:t>le</w:t>
      </w:r>
      <w:r w:rsidR="004F0A0C" w:rsidRPr="004F0A0C">
        <w:rPr>
          <w:bCs/>
          <w:sz w:val="18"/>
          <w:szCs w:val="18"/>
        </w:rPr>
        <w:t xml:space="preserve"> </w:t>
      </w:r>
      <w:r>
        <w:rPr>
          <w:bCs/>
          <w:sz w:val="18"/>
          <w:szCs w:val="18"/>
        </w:rPr>
        <w:t xml:space="preserve">for </w:t>
      </w:r>
      <w:r w:rsidR="004F0A0C" w:rsidRPr="004F0A0C">
        <w:rPr>
          <w:bCs/>
          <w:sz w:val="18"/>
          <w:szCs w:val="18"/>
        </w:rPr>
        <w:t>ensur</w:t>
      </w:r>
      <w:r>
        <w:rPr>
          <w:bCs/>
          <w:sz w:val="18"/>
          <w:szCs w:val="18"/>
        </w:rPr>
        <w:t>ing</w:t>
      </w:r>
      <w:r w:rsidR="004F0A0C" w:rsidRPr="004F0A0C">
        <w:rPr>
          <w:bCs/>
          <w:sz w:val="18"/>
          <w:szCs w:val="18"/>
        </w:rPr>
        <w:t xml:space="preserve"> that proper IRB approval has been obtained, as necessary, for any submitted materials.</w:t>
      </w:r>
      <w:r w:rsidR="004F0A0C" w:rsidRPr="004F0A0C">
        <w:rPr>
          <w:sz w:val="18"/>
          <w:szCs w:val="18"/>
        </w:rPr>
        <w:t xml:space="preserve"> Although not required at submission of materials, the faculty member must be able to produce the written permissions upon request.</w:t>
      </w:r>
    </w:p>
    <w:p w14:paraId="10215D21" w14:textId="77777777" w:rsidR="004F0A0C" w:rsidRPr="004F0A0C" w:rsidRDefault="004F0A0C" w:rsidP="004F0A0C">
      <w:pPr>
        <w:rPr>
          <w:sz w:val="18"/>
          <w:szCs w:val="18"/>
        </w:rPr>
      </w:pPr>
    </w:p>
    <w:p w14:paraId="3FB807B1" w14:textId="6B2E465C" w:rsidR="004F0A0C" w:rsidRPr="00C03656" w:rsidRDefault="004F0A0C" w:rsidP="00A32797">
      <w:pPr>
        <w:pStyle w:val="Heading1"/>
      </w:pPr>
      <w:r w:rsidRPr="004F0A0C">
        <w:t>Format and Accessibilit</w:t>
      </w:r>
      <w:r w:rsidR="00766BFD">
        <w:t xml:space="preserve">y / </w:t>
      </w:r>
      <w:r w:rsidRPr="00C03656">
        <w:t>Website Accessibility</w:t>
      </w:r>
    </w:p>
    <w:p w14:paraId="120BF987" w14:textId="6BE601E8" w:rsidR="004F0A0C" w:rsidRPr="004F0A0C" w:rsidRDefault="004F0A0C" w:rsidP="004F0A0C">
      <w:pPr>
        <w:rPr>
          <w:sz w:val="18"/>
          <w:szCs w:val="18"/>
        </w:rPr>
      </w:pPr>
      <w:r w:rsidRPr="004F0A0C">
        <w:rPr>
          <w:sz w:val="18"/>
          <w:szCs w:val="18"/>
        </w:rPr>
        <w:t>All submitted educational support materials will be provided to learners in PDF format on the ASRA</w:t>
      </w:r>
      <w:r w:rsidR="00C03656">
        <w:rPr>
          <w:sz w:val="18"/>
          <w:szCs w:val="18"/>
        </w:rPr>
        <w:t xml:space="preserve"> Pain Medicine</w:t>
      </w:r>
      <w:r w:rsidRPr="004F0A0C">
        <w:rPr>
          <w:sz w:val="18"/>
          <w:szCs w:val="18"/>
        </w:rPr>
        <w:t xml:space="preserve"> meeting website</w:t>
      </w:r>
      <w:r w:rsidR="00AB5D65">
        <w:rPr>
          <w:sz w:val="18"/>
          <w:szCs w:val="18"/>
        </w:rPr>
        <w:t xml:space="preserve"> and in the meeting app</w:t>
      </w:r>
      <w:r w:rsidRPr="004F0A0C">
        <w:rPr>
          <w:sz w:val="18"/>
          <w:szCs w:val="18"/>
        </w:rPr>
        <w:t xml:space="preserve">. Materials will be available </w:t>
      </w:r>
      <w:r w:rsidR="00AB5D65">
        <w:rPr>
          <w:sz w:val="18"/>
          <w:szCs w:val="18"/>
        </w:rPr>
        <w:t>in these venues</w:t>
      </w:r>
      <w:r w:rsidRPr="004F0A0C">
        <w:rPr>
          <w:sz w:val="18"/>
          <w:szCs w:val="18"/>
        </w:rPr>
        <w:t xml:space="preserve"> for up to one year after the event. Printed handouts will be used only in limited circumstances when necessary to support the live learning experience.  The website with the educational content will include the following wording on the top of the page:</w:t>
      </w:r>
    </w:p>
    <w:p w14:paraId="70707CEB" w14:textId="77777777" w:rsidR="004F0A0C" w:rsidRPr="004F0A0C" w:rsidRDefault="004F0A0C" w:rsidP="004F0A0C">
      <w:pPr>
        <w:rPr>
          <w:sz w:val="18"/>
          <w:szCs w:val="18"/>
        </w:rPr>
      </w:pPr>
    </w:p>
    <w:p w14:paraId="22B79382" w14:textId="2D6878D4" w:rsidR="004F0A0C" w:rsidRPr="007D6CDB" w:rsidRDefault="004F0A0C" w:rsidP="007D6CDB">
      <w:pPr>
        <w:ind w:left="360"/>
        <w:rPr>
          <w:i/>
          <w:sz w:val="18"/>
          <w:szCs w:val="18"/>
        </w:rPr>
      </w:pPr>
      <w:r w:rsidRPr="004F0A0C">
        <w:rPr>
          <w:i/>
          <w:sz w:val="18"/>
          <w:szCs w:val="18"/>
        </w:rPr>
        <w:t xml:space="preserve">“Educational support materials are available to meeting participants online prior to, during, and after the meeting (up to one year) for educational purposes only. Access to </w:t>
      </w:r>
      <w:proofErr w:type="gramStart"/>
      <w:r w:rsidRPr="004F0A0C">
        <w:rPr>
          <w:i/>
          <w:sz w:val="18"/>
          <w:szCs w:val="18"/>
        </w:rPr>
        <w:t>particular content</w:t>
      </w:r>
      <w:proofErr w:type="gramEnd"/>
      <w:r w:rsidRPr="004F0A0C">
        <w:rPr>
          <w:i/>
          <w:sz w:val="18"/>
          <w:szCs w:val="18"/>
        </w:rPr>
        <w:t xml:space="preserve"> is provided based on meeting registration and is password protected. Distribution is limited and none of the materials should be further distributed or reproduced.”</w:t>
      </w:r>
    </w:p>
    <w:p w14:paraId="77A29A6B" w14:textId="77777777" w:rsidR="004F0A0C" w:rsidRPr="004F0A0C" w:rsidRDefault="004F0A0C" w:rsidP="004F0A0C">
      <w:pPr>
        <w:rPr>
          <w:sz w:val="18"/>
          <w:szCs w:val="18"/>
        </w:rPr>
      </w:pPr>
    </w:p>
    <w:p w14:paraId="340B03EA" w14:textId="77777777" w:rsidR="004F0A0C" w:rsidRPr="004F0A0C" w:rsidRDefault="004F0A0C" w:rsidP="00C03656">
      <w:pPr>
        <w:pStyle w:val="Heading1"/>
      </w:pPr>
      <w:r w:rsidRPr="004F0A0C">
        <w:t>Resources</w:t>
      </w:r>
    </w:p>
    <w:p w14:paraId="25A20A64" w14:textId="77777777" w:rsidR="004F0A0C" w:rsidRPr="00E319B0" w:rsidRDefault="004F0A0C" w:rsidP="00E319B0">
      <w:pPr>
        <w:pStyle w:val="ListParagraph"/>
        <w:numPr>
          <w:ilvl w:val="0"/>
          <w:numId w:val="37"/>
        </w:numPr>
        <w:rPr>
          <w:sz w:val="18"/>
          <w:szCs w:val="18"/>
        </w:rPr>
      </w:pPr>
      <w:r w:rsidRPr="00E319B0">
        <w:rPr>
          <w:sz w:val="18"/>
          <w:szCs w:val="18"/>
        </w:rPr>
        <w:t xml:space="preserve">Copyright Basics </w:t>
      </w:r>
      <w:hyperlink r:id="rId10" w:history="1">
        <w:r w:rsidRPr="007A19A7">
          <w:rPr>
            <w:rStyle w:val="Hyperlink"/>
            <w:color w:val="auto"/>
            <w:sz w:val="18"/>
            <w:szCs w:val="18"/>
          </w:rPr>
          <w:t>http://www.copyright.gov/circs/circ01.pdf</w:t>
        </w:r>
      </w:hyperlink>
    </w:p>
    <w:p w14:paraId="547564C3" w14:textId="77777777" w:rsidR="004F0A0C" w:rsidRPr="00E319B0" w:rsidRDefault="004F0A0C" w:rsidP="00E319B0">
      <w:pPr>
        <w:pStyle w:val="ListParagraph"/>
        <w:numPr>
          <w:ilvl w:val="0"/>
          <w:numId w:val="37"/>
        </w:numPr>
        <w:rPr>
          <w:sz w:val="18"/>
          <w:szCs w:val="18"/>
        </w:rPr>
      </w:pPr>
      <w:r w:rsidRPr="00E319B0">
        <w:rPr>
          <w:sz w:val="18"/>
          <w:szCs w:val="18"/>
        </w:rPr>
        <w:t xml:space="preserve">Fair Use Scenarios and Q&amp;A  </w:t>
      </w:r>
      <w:hyperlink r:id="rId11" w:history="1">
        <w:r w:rsidRPr="007A19A7">
          <w:rPr>
            <w:rStyle w:val="Hyperlink"/>
            <w:color w:val="auto"/>
            <w:sz w:val="18"/>
            <w:szCs w:val="18"/>
          </w:rPr>
          <w:t>http://poly.libguides.com/content.php?pid=59733&amp;sid=442218</w:t>
        </w:r>
      </w:hyperlink>
      <w:r w:rsidRPr="00E319B0">
        <w:rPr>
          <w:sz w:val="18"/>
          <w:szCs w:val="18"/>
        </w:rPr>
        <w:t xml:space="preserve"> </w:t>
      </w:r>
    </w:p>
    <w:p w14:paraId="33E0BFEA" w14:textId="25B16E9D" w:rsidR="00D66AC7" w:rsidRPr="00DE27F1" w:rsidRDefault="004F0A0C" w:rsidP="00D66AC7">
      <w:pPr>
        <w:pStyle w:val="ListParagraph"/>
        <w:numPr>
          <w:ilvl w:val="0"/>
          <w:numId w:val="37"/>
        </w:numPr>
        <w:rPr>
          <w:sz w:val="18"/>
          <w:szCs w:val="18"/>
        </w:rPr>
      </w:pPr>
      <w:r w:rsidRPr="00E319B0">
        <w:rPr>
          <w:i/>
          <w:sz w:val="18"/>
          <w:szCs w:val="18"/>
        </w:rPr>
        <w:t>Regional Anesthesia and Pain Medicine</w:t>
      </w:r>
      <w:r w:rsidRPr="00E319B0">
        <w:rPr>
          <w:sz w:val="18"/>
          <w:szCs w:val="18"/>
        </w:rPr>
        <w:t xml:space="preserve"> (</w:t>
      </w:r>
      <w:r w:rsidRPr="00E319B0">
        <w:rPr>
          <w:i/>
          <w:sz w:val="18"/>
          <w:szCs w:val="18"/>
        </w:rPr>
        <w:t>RAPM</w:t>
      </w:r>
      <w:r w:rsidRPr="00E319B0">
        <w:rPr>
          <w:sz w:val="18"/>
          <w:szCs w:val="18"/>
        </w:rPr>
        <w:t xml:space="preserve">) </w:t>
      </w:r>
      <w:hyperlink r:id="rId12" w:history="1">
        <w:r w:rsidRPr="007A19A7">
          <w:rPr>
            <w:rStyle w:val="Hyperlink"/>
            <w:color w:val="auto"/>
            <w:sz w:val="18"/>
            <w:szCs w:val="18"/>
          </w:rPr>
          <w:t>http://www.asra.com/publications-jounal.php</w:t>
        </w:r>
      </w:hyperlink>
    </w:p>
    <w:p w14:paraId="3F55D22B" w14:textId="67BC6DA1" w:rsidR="00D66AC7" w:rsidRDefault="00D66AC7" w:rsidP="002D3DDF">
      <w:pPr>
        <w:rPr>
          <w:color w:val="1F497D"/>
        </w:rPr>
      </w:pPr>
    </w:p>
    <w:p w14:paraId="305C63EE" w14:textId="77777777" w:rsidR="002D3DDF" w:rsidRPr="004F0A0C" w:rsidRDefault="002D3DDF" w:rsidP="004F0A0C">
      <w:pPr>
        <w:outlineLvl w:val="2"/>
        <w:rPr>
          <w:spacing w:val="-3"/>
          <w:sz w:val="18"/>
          <w:szCs w:val="18"/>
        </w:rPr>
      </w:pPr>
    </w:p>
    <w:sectPr w:rsidR="002D3DDF" w:rsidRPr="004F0A0C" w:rsidSect="003624CD">
      <w:headerReference w:type="default" r:id="rId13"/>
      <w:footerReference w:type="default" r:id="rId14"/>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A071" w14:textId="77777777" w:rsidR="00EF6270" w:rsidRDefault="00EF6270" w:rsidP="009B20DC">
      <w:r>
        <w:separator/>
      </w:r>
    </w:p>
  </w:endnote>
  <w:endnote w:type="continuationSeparator" w:id="0">
    <w:p w14:paraId="2420E228" w14:textId="77777777" w:rsidR="00EF6270" w:rsidRDefault="00EF6270"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490E" w14:textId="77777777" w:rsidR="00EF6270" w:rsidRDefault="00EF6270" w:rsidP="009B20DC">
      <w:r>
        <w:separator/>
      </w:r>
    </w:p>
  </w:footnote>
  <w:footnote w:type="continuationSeparator" w:id="0">
    <w:p w14:paraId="326E0C0F" w14:textId="77777777" w:rsidR="00EF6270" w:rsidRDefault="00EF6270"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1B1C903D" w:rsidR="00185B8D" w:rsidRDefault="00185B8D">
        <w:pPr>
          <w:pStyle w:val="Header"/>
          <w:jc w:val="right"/>
        </w:pPr>
        <w:r>
          <w:fldChar w:fldCharType="begin"/>
        </w:r>
        <w:r>
          <w:instrText xml:space="preserve"> PAGE   \* MERGEFORMAT </w:instrText>
        </w:r>
        <w:r>
          <w:fldChar w:fldCharType="separate"/>
        </w:r>
        <w:r w:rsidR="00200ADB">
          <w:rPr>
            <w:noProof/>
          </w:rPr>
          <w:t>3</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402"/>
    <w:multiLevelType w:val="hybridMultilevel"/>
    <w:tmpl w:val="EDBE22FA"/>
    <w:lvl w:ilvl="0" w:tplc="D91C80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C3063"/>
    <w:multiLevelType w:val="hybridMultilevel"/>
    <w:tmpl w:val="BE3A28E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41AFA"/>
    <w:multiLevelType w:val="hybridMultilevel"/>
    <w:tmpl w:val="714624A4"/>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5F6FF2"/>
    <w:multiLevelType w:val="hybridMultilevel"/>
    <w:tmpl w:val="B5840BF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5108AB"/>
    <w:multiLevelType w:val="hybridMultilevel"/>
    <w:tmpl w:val="71D2F6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E06DA"/>
    <w:multiLevelType w:val="hybridMultilevel"/>
    <w:tmpl w:val="040EDB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18E7"/>
    <w:multiLevelType w:val="hybridMultilevel"/>
    <w:tmpl w:val="110689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87076"/>
    <w:multiLevelType w:val="multilevel"/>
    <w:tmpl w:val="0ECE4EC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169AB"/>
    <w:multiLevelType w:val="hybridMultilevel"/>
    <w:tmpl w:val="7B6E87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D103F"/>
    <w:multiLevelType w:val="hybridMultilevel"/>
    <w:tmpl w:val="0B0C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E21676"/>
    <w:multiLevelType w:val="hybridMultilevel"/>
    <w:tmpl w:val="CA4C6E44"/>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8EA5378"/>
    <w:multiLevelType w:val="hybridMultilevel"/>
    <w:tmpl w:val="F93E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A1CE3"/>
    <w:multiLevelType w:val="multilevel"/>
    <w:tmpl w:val="0ECE4EC2"/>
    <w:lvl w:ilvl="0">
      <w:start w:val="1"/>
      <w:numFmt w:val="bullet"/>
      <w:lvlText w:val=""/>
      <w:lvlJc w:val="left"/>
      <w:pPr>
        <w:tabs>
          <w:tab w:val="num" w:pos="1260"/>
        </w:tabs>
        <w:ind w:left="1260" w:hanging="360"/>
      </w:pPr>
      <w:rPr>
        <w:rFonts w:ascii="Symbol" w:hAnsi="Symbol" w:hint="default"/>
        <w:color w:val="auto"/>
        <w:sz w:val="16"/>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3" w15:restartNumberingAfterBreak="0">
    <w:nsid w:val="2A18120C"/>
    <w:multiLevelType w:val="hybridMultilevel"/>
    <w:tmpl w:val="FE78F5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616B3"/>
    <w:multiLevelType w:val="hybridMultilevel"/>
    <w:tmpl w:val="53EC19CC"/>
    <w:lvl w:ilvl="0" w:tplc="FBA45522">
      <w:start w:val="1"/>
      <w:numFmt w:val="upperLetter"/>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17430"/>
    <w:multiLevelType w:val="hybridMultilevel"/>
    <w:tmpl w:val="53C0828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AEC22E1"/>
    <w:multiLevelType w:val="hybridMultilevel"/>
    <w:tmpl w:val="ACA81C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E0A3C"/>
    <w:multiLevelType w:val="hybridMultilevel"/>
    <w:tmpl w:val="3BD23078"/>
    <w:lvl w:ilvl="0" w:tplc="B1AA6FC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9A727E"/>
    <w:multiLevelType w:val="hybridMultilevel"/>
    <w:tmpl w:val="5B9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92497"/>
    <w:multiLevelType w:val="hybridMultilevel"/>
    <w:tmpl w:val="ADCACCDA"/>
    <w:lvl w:ilvl="0" w:tplc="48648B6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FC59EE"/>
    <w:multiLevelType w:val="hybridMultilevel"/>
    <w:tmpl w:val="9C7841A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44BB70BA"/>
    <w:multiLevelType w:val="hybridMultilevel"/>
    <w:tmpl w:val="C7EC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B0C0C"/>
    <w:multiLevelType w:val="hybridMultilevel"/>
    <w:tmpl w:val="CCA6B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6738C4"/>
    <w:multiLevelType w:val="hybridMultilevel"/>
    <w:tmpl w:val="5A1C58C8"/>
    <w:lvl w:ilvl="0" w:tplc="4D9CC39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4273A"/>
    <w:multiLevelType w:val="multilevel"/>
    <w:tmpl w:val="0ECE4EC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D1940"/>
    <w:multiLevelType w:val="hybridMultilevel"/>
    <w:tmpl w:val="A5EE2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44398"/>
    <w:multiLevelType w:val="hybridMultilevel"/>
    <w:tmpl w:val="493AAD66"/>
    <w:lvl w:ilvl="0" w:tplc="0409000F">
      <w:start w:val="1"/>
      <w:numFmt w:val="decimal"/>
      <w:lvlText w:val="%1."/>
      <w:lvlJc w:val="left"/>
      <w:pPr>
        <w:tabs>
          <w:tab w:val="num" w:pos="-1468"/>
        </w:tabs>
        <w:ind w:left="-1468" w:hanging="360"/>
      </w:pPr>
    </w:lvl>
    <w:lvl w:ilvl="1" w:tplc="04090019" w:tentative="1">
      <w:start w:val="1"/>
      <w:numFmt w:val="lowerLetter"/>
      <w:lvlText w:val="%2."/>
      <w:lvlJc w:val="left"/>
      <w:pPr>
        <w:tabs>
          <w:tab w:val="num" w:pos="-748"/>
        </w:tabs>
        <w:ind w:left="-748" w:hanging="360"/>
      </w:pPr>
    </w:lvl>
    <w:lvl w:ilvl="2" w:tplc="0409001B" w:tentative="1">
      <w:start w:val="1"/>
      <w:numFmt w:val="lowerRoman"/>
      <w:lvlText w:val="%3."/>
      <w:lvlJc w:val="right"/>
      <w:pPr>
        <w:tabs>
          <w:tab w:val="num" w:pos="-28"/>
        </w:tabs>
        <w:ind w:left="-28" w:hanging="180"/>
      </w:pPr>
    </w:lvl>
    <w:lvl w:ilvl="3" w:tplc="0409000F" w:tentative="1">
      <w:start w:val="1"/>
      <w:numFmt w:val="decimal"/>
      <w:lvlText w:val="%4."/>
      <w:lvlJc w:val="left"/>
      <w:pPr>
        <w:tabs>
          <w:tab w:val="num" w:pos="692"/>
        </w:tabs>
        <w:ind w:left="692" w:hanging="360"/>
      </w:pPr>
    </w:lvl>
    <w:lvl w:ilvl="4" w:tplc="04090019" w:tentative="1">
      <w:start w:val="1"/>
      <w:numFmt w:val="lowerLetter"/>
      <w:lvlText w:val="%5."/>
      <w:lvlJc w:val="left"/>
      <w:pPr>
        <w:tabs>
          <w:tab w:val="num" w:pos="1412"/>
        </w:tabs>
        <w:ind w:left="1412" w:hanging="360"/>
      </w:pPr>
    </w:lvl>
    <w:lvl w:ilvl="5" w:tplc="0409001B" w:tentative="1">
      <w:start w:val="1"/>
      <w:numFmt w:val="lowerRoman"/>
      <w:lvlText w:val="%6."/>
      <w:lvlJc w:val="right"/>
      <w:pPr>
        <w:tabs>
          <w:tab w:val="num" w:pos="2132"/>
        </w:tabs>
        <w:ind w:left="2132" w:hanging="180"/>
      </w:pPr>
    </w:lvl>
    <w:lvl w:ilvl="6" w:tplc="0409000F" w:tentative="1">
      <w:start w:val="1"/>
      <w:numFmt w:val="decimal"/>
      <w:lvlText w:val="%7."/>
      <w:lvlJc w:val="left"/>
      <w:pPr>
        <w:tabs>
          <w:tab w:val="num" w:pos="2852"/>
        </w:tabs>
        <w:ind w:left="2852" w:hanging="360"/>
      </w:pPr>
    </w:lvl>
    <w:lvl w:ilvl="7" w:tplc="04090019" w:tentative="1">
      <w:start w:val="1"/>
      <w:numFmt w:val="lowerLetter"/>
      <w:lvlText w:val="%8."/>
      <w:lvlJc w:val="left"/>
      <w:pPr>
        <w:tabs>
          <w:tab w:val="num" w:pos="3572"/>
        </w:tabs>
        <w:ind w:left="3572" w:hanging="360"/>
      </w:pPr>
    </w:lvl>
    <w:lvl w:ilvl="8" w:tplc="0409001B" w:tentative="1">
      <w:start w:val="1"/>
      <w:numFmt w:val="lowerRoman"/>
      <w:lvlText w:val="%9."/>
      <w:lvlJc w:val="right"/>
      <w:pPr>
        <w:tabs>
          <w:tab w:val="num" w:pos="4292"/>
        </w:tabs>
        <w:ind w:left="4292" w:hanging="180"/>
      </w:pPr>
    </w:lvl>
  </w:abstractNum>
  <w:abstractNum w:abstractNumId="27" w15:restartNumberingAfterBreak="0">
    <w:nsid w:val="61054934"/>
    <w:multiLevelType w:val="hybridMultilevel"/>
    <w:tmpl w:val="4DEA8A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54ED7"/>
    <w:multiLevelType w:val="hybridMultilevel"/>
    <w:tmpl w:val="839A3C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7525F"/>
    <w:multiLevelType w:val="hybridMultilevel"/>
    <w:tmpl w:val="AAB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C7855"/>
    <w:multiLevelType w:val="multilevel"/>
    <w:tmpl w:val="0ECE4EC2"/>
    <w:lvl w:ilvl="0">
      <w:start w:val="1"/>
      <w:numFmt w:val="bullet"/>
      <w:lvlText w:val=""/>
      <w:lvlJc w:val="left"/>
      <w:pPr>
        <w:tabs>
          <w:tab w:val="num" w:pos="1267"/>
        </w:tabs>
        <w:ind w:left="1267" w:hanging="360"/>
      </w:pPr>
      <w:rPr>
        <w:rFonts w:ascii="Symbol" w:hAnsi="Symbol" w:hint="default"/>
        <w:color w:val="auto"/>
        <w:sz w:val="16"/>
      </w:rPr>
    </w:lvl>
    <w:lvl w:ilvl="1">
      <w:start w:val="1"/>
      <w:numFmt w:val="bullet"/>
      <w:lvlText w:val="o"/>
      <w:lvlJc w:val="left"/>
      <w:pPr>
        <w:tabs>
          <w:tab w:val="num" w:pos="1987"/>
        </w:tabs>
        <w:ind w:left="1987" w:hanging="360"/>
      </w:pPr>
      <w:rPr>
        <w:rFonts w:ascii="Courier New" w:hAnsi="Courier New" w:hint="default"/>
        <w:sz w:val="20"/>
      </w:rPr>
    </w:lvl>
    <w:lvl w:ilvl="2" w:tentative="1">
      <w:start w:val="1"/>
      <w:numFmt w:val="bullet"/>
      <w:lvlText w:val=""/>
      <w:lvlJc w:val="left"/>
      <w:pPr>
        <w:tabs>
          <w:tab w:val="num" w:pos="2707"/>
        </w:tabs>
        <w:ind w:left="2707" w:hanging="360"/>
      </w:pPr>
      <w:rPr>
        <w:rFonts w:ascii="Wingdings" w:hAnsi="Wingdings" w:hint="default"/>
        <w:sz w:val="20"/>
      </w:rPr>
    </w:lvl>
    <w:lvl w:ilvl="3" w:tentative="1">
      <w:start w:val="1"/>
      <w:numFmt w:val="bullet"/>
      <w:lvlText w:val=""/>
      <w:lvlJc w:val="left"/>
      <w:pPr>
        <w:tabs>
          <w:tab w:val="num" w:pos="3427"/>
        </w:tabs>
        <w:ind w:left="3427" w:hanging="360"/>
      </w:pPr>
      <w:rPr>
        <w:rFonts w:ascii="Wingdings" w:hAnsi="Wingdings" w:hint="default"/>
        <w:sz w:val="20"/>
      </w:rPr>
    </w:lvl>
    <w:lvl w:ilvl="4" w:tentative="1">
      <w:start w:val="1"/>
      <w:numFmt w:val="bullet"/>
      <w:lvlText w:val=""/>
      <w:lvlJc w:val="left"/>
      <w:pPr>
        <w:tabs>
          <w:tab w:val="num" w:pos="4147"/>
        </w:tabs>
        <w:ind w:left="4147" w:hanging="360"/>
      </w:pPr>
      <w:rPr>
        <w:rFonts w:ascii="Wingdings" w:hAnsi="Wingdings" w:hint="default"/>
        <w:sz w:val="20"/>
      </w:rPr>
    </w:lvl>
    <w:lvl w:ilvl="5" w:tentative="1">
      <w:start w:val="1"/>
      <w:numFmt w:val="bullet"/>
      <w:lvlText w:val=""/>
      <w:lvlJc w:val="left"/>
      <w:pPr>
        <w:tabs>
          <w:tab w:val="num" w:pos="4867"/>
        </w:tabs>
        <w:ind w:left="4867" w:hanging="360"/>
      </w:pPr>
      <w:rPr>
        <w:rFonts w:ascii="Wingdings" w:hAnsi="Wingdings" w:hint="default"/>
        <w:sz w:val="20"/>
      </w:rPr>
    </w:lvl>
    <w:lvl w:ilvl="6" w:tentative="1">
      <w:start w:val="1"/>
      <w:numFmt w:val="bullet"/>
      <w:lvlText w:val=""/>
      <w:lvlJc w:val="left"/>
      <w:pPr>
        <w:tabs>
          <w:tab w:val="num" w:pos="5587"/>
        </w:tabs>
        <w:ind w:left="5587" w:hanging="360"/>
      </w:pPr>
      <w:rPr>
        <w:rFonts w:ascii="Wingdings" w:hAnsi="Wingdings" w:hint="default"/>
        <w:sz w:val="20"/>
      </w:rPr>
    </w:lvl>
    <w:lvl w:ilvl="7" w:tentative="1">
      <w:start w:val="1"/>
      <w:numFmt w:val="bullet"/>
      <w:lvlText w:val=""/>
      <w:lvlJc w:val="left"/>
      <w:pPr>
        <w:tabs>
          <w:tab w:val="num" w:pos="6307"/>
        </w:tabs>
        <w:ind w:left="6307" w:hanging="360"/>
      </w:pPr>
      <w:rPr>
        <w:rFonts w:ascii="Wingdings" w:hAnsi="Wingdings" w:hint="default"/>
        <w:sz w:val="20"/>
      </w:rPr>
    </w:lvl>
    <w:lvl w:ilvl="8" w:tentative="1">
      <w:start w:val="1"/>
      <w:numFmt w:val="bullet"/>
      <w:lvlText w:val=""/>
      <w:lvlJc w:val="left"/>
      <w:pPr>
        <w:tabs>
          <w:tab w:val="num" w:pos="7027"/>
        </w:tabs>
        <w:ind w:left="7027" w:hanging="360"/>
      </w:pPr>
      <w:rPr>
        <w:rFonts w:ascii="Wingdings" w:hAnsi="Wingdings" w:hint="default"/>
        <w:sz w:val="20"/>
      </w:rPr>
    </w:lvl>
  </w:abstractNum>
  <w:abstractNum w:abstractNumId="31" w15:restartNumberingAfterBreak="0">
    <w:nsid w:val="66FE69B0"/>
    <w:multiLevelType w:val="hybridMultilevel"/>
    <w:tmpl w:val="4B32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7548E2"/>
    <w:multiLevelType w:val="hybridMultilevel"/>
    <w:tmpl w:val="29DE91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872227"/>
    <w:multiLevelType w:val="hybridMultilevel"/>
    <w:tmpl w:val="EBFCE0DE"/>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411D79"/>
    <w:multiLevelType w:val="hybridMultilevel"/>
    <w:tmpl w:val="B1FCB48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0347CC"/>
    <w:multiLevelType w:val="multilevel"/>
    <w:tmpl w:val="0ECE4EC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93C02"/>
    <w:multiLevelType w:val="hybridMultilevel"/>
    <w:tmpl w:val="BA0AA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454E67"/>
    <w:multiLevelType w:val="hybridMultilevel"/>
    <w:tmpl w:val="075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241942">
    <w:abstractNumId w:val="33"/>
  </w:num>
  <w:num w:numId="2" w16cid:durableId="1639408442">
    <w:abstractNumId w:val="34"/>
  </w:num>
  <w:num w:numId="3" w16cid:durableId="1177231663">
    <w:abstractNumId w:val="9"/>
  </w:num>
  <w:num w:numId="4" w16cid:durableId="742526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240709">
    <w:abstractNumId w:val="20"/>
  </w:num>
  <w:num w:numId="6" w16cid:durableId="23698269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9566793">
    <w:abstractNumId w:val="36"/>
  </w:num>
  <w:num w:numId="8" w16cid:durableId="806357443">
    <w:abstractNumId w:val="8"/>
  </w:num>
  <w:num w:numId="9" w16cid:durableId="654335477">
    <w:abstractNumId w:val="13"/>
  </w:num>
  <w:num w:numId="10" w16cid:durableId="1656647655">
    <w:abstractNumId w:val="6"/>
  </w:num>
  <w:num w:numId="11" w16cid:durableId="1132601309">
    <w:abstractNumId w:val="2"/>
  </w:num>
  <w:num w:numId="12" w16cid:durableId="207649356">
    <w:abstractNumId w:val="24"/>
  </w:num>
  <w:num w:numId="13" w16cid:durableId="455947380">
    <w:abstractNumId w:val="35"/>
  </w:num>
  <w:num w:numId="14" w16cid:durableId="44836573">
    <w:abstractNumId w:val="1"/>
  </w:num>
  <w:num w:numId="15" w16cid:durableId="1512987581">
    <w:abstractNumId w:val="7"/>
  </w:num>
  <w:num w:numId="16" w16cid:durableId="1258096565">
    <w:abstractNumId w:val="26"/>
  </w:num>
  <w:num w:numId="17" w16cid:durableId="335348344">
    <w:abstractNumId w:val="32"/>
  </w:num>
  <w:num w:numId="18" w16cid:durableId="1942444036">
    <w:abstractNumId w:val="12"/>
  </w:num>
  <w:num w:numId="19" w16cid:durableId="1488593405">
    <w:abstractNumId w:val="30"/>
  </w:num>
  <w:num w:numId="20" w16cid:durableId="2014795429">
    <w:abstractNumId w:val="3"/>
  </w:num>
  <w:num w:numId="21" w16cid:durableId="1435901735">
    <w:abstractNumId w:val="22"/>
  </w:num>
  <w:num w:numId="22" w16cid:durableId="185560264">
    <w:abstractNumId w:val="31"/>
  </w:num>
  <w:num w:numId="23" w16cid:durableId="76561245">
    <w:abstractNumId w:val="37"/>
  </w:num>
  <w:num w:numId="24" w16cid:durableId="826360847">
    <w:abstractNumId w:val="27"/>
  </w:num>
  <w:num w:numId="25" w16cid:durableId="758327294">
    <w:abstractNumId w:val="5"/>
  </w:num>
  <w:num w:numId="26" w16cid:durableId="1281033067">
    <w:abstractNumId w:val="16"/>
  </w:num>
  <w:num w:numId="27" w16cid:durableId="272395893">
    <w:abstractNumId w:val="4"/>
  </w:num>
  <w:num w:numId="28" w16cid:durableId="2050260288">
    <w:abstractNumId w:val="25"/>
  </w:num>
  <w:num w:numId="29" w16cid:durableId="2004892843">
    <w:abstractNumId w:val="28"/>
  </w:num>
  <w:num w:numId="30" w16cid:durableId="1594780570">
    <w:abstractNumId w:val="18"/>
  </w:num>
  <w:num w:numId="31" w16cid:durableId="1890024927">
    <w:abstractNumId w:val="21"/>
  </w:num>
  <w:num w:numId="32" w16cid:durableId="786123551">
    <w:abstractNumId w:val="23"/>
  </w:num>
  <w:num w:numId="33" w16cid:durableId="1228759211">
    <w:abstractNumId w:val="17"/>
  </w:num>
  <w:num w:numId="34" w16cid:durableId="2009625332">
    <w:abstractNumId w:val="19"/>
  </w:num>
  <w:num w:numId="35" w16cid:durableId="688722757">
    <w:abstractNumId w:val="14"/>
  </w:num>
  <w:num w:numId="36" w16cid:durableId="1222401397">
    <w:abstractNumId w:val="14"/>
    <w:lvlOverride w:ilvl="0">
      <w:startOverride w:val="1"/>
    </w:lvlOverride>
  </w:num>
  <w:num w:numId="37" w16cid:durableId="569970495">
    <w:abstractNumId w:val="11"/>
  </w:num>
  <w:num w:numId="38" w16cid:durableId="578557644">
    <w:abstractNumId w:val="0"/>
  </w:num>
  <w:num w:numId="39" w16cid:durableId="95906987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DC"/>
    <w:rsid w:val="000018F7"/>
    <w:rsid w:val="00005F6E"/>
    <w:rsid w:val="000119C1"/>
    <w:rsid w:val="0001369D"/>
    <w:rsid w:val="00027AE7"/>
    <w:rsid w:val="00031D0A"/>
    <w:rsid w:val="0003681D"/>
    <w:rsid w:val="000433E1"/>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55A1"/>
    <w:rsid w:val="00096F0D"/>
    <w:rsid w:val="000A3B2D"/>
    <w:rsid w:val="000A5E17"/>
    <w:rsid w:val="000A636C"/>
    <w:rsid w:val="000A65E1"/>
    <w:rsid w:val="000A737E"/>
    <w:rsid w:val="000A7A45"/>
    <w:rsid w:val="000D4196"/>
    <w:rsid w:val="000E0E76"/>
    <w:rsid w:val="000F046C"/>
    <w:rsid w:val="000F1212"/>
    <w:rsid w:val="000F1DE5"/>
    <w:rsid w:val="001051E5"/>
    <w:rsid w:val="00110D2E"/>
    <w:rsid w:val="00111EEC"/>
    <w:rsid w:val="0011611B"/>
    <w:rsid w:val="001264B6"/>
    <w:rsid w:val="001274C4"/>
    <w:rsid w:val="00127DAB"/>
    <w:rsid w:val="00127FB4"/>
    <w:rsid w:val="00133DFA"/>
    <w:rsid w:val="00137D1D"/>
    <w:rsid w:val="001422F2"/>
    <w:rsid w:val="00150787"/>
    <w:rsid w:val="00150A63"/>
    <w:rsid w:val="00152969"/>
    <w:rsid w:val="00153CA7"/>
    <w:rsid w:val="001629DD"/>
    <w:rsid w:val="00165414"/>
    <w:rsid w:val="00166AFE"/>
    <w:rsid w:val="00170E6F"/>
    <w:rsid w:val="00177C67"/>
    <w:rsid w:val="00185B8D"/>
    <w:rsid w:val="00186AA3"/>
    <w:rsid w:val="001876CD"/>
    <w:rsid w:val="00187E2A"/>
    <w:rsid w:val="00190992"/>
    <w:rsid w:val="00193135"/>
    <w:rsid w:val="00196510"/>
    <w:rsid w:val="001976B2"/>
    <w:rsid w:val="001A3467"/>
    <w:rsid w:val="001A5527"/>
    <w:rsid w:val="001A61BF"/>
    <w:rsid w:val="001A77C2"/>
    <w:rsid w:val="001B1F2E"/>
    <w:rsid w:val="001B509A"/>
    <w:rsid w:val="001B5AE1"/>
    <w:rsid w:val="001B6515"/>
    <w:rsid w:val="001B6D24"/>
    <w:rsid w:val="001B7D3B"/>
    <w:rsid w:val="001C66F9"/>
    <w:rsid w:val="001D3374"/>
    <w:rsid w:val="001D5A99"/>
    <w:rsid w:val="001D66E0"/>
    <w:rsid w:val="001E2346"/>
    <w:rsid w:val="001E2923"/>
    <w:rsid w:val="001E4196"/>
    <w:rsid w:val="001F467C"/>
    <w:rsid w:val="00200ADB"/>
    <w:rsid w:val="00201D07"/>
    <w:rsid w:val="002032F6"/>
    <w:rsid w:val="0021292D"/>
    <w:rsid w:val="00212BBB"/>
    <w:rsid w:val="002137E1"/>
    <w:rsid w:val="00220412"/>
    <w:rsid w:val="00223D91"/>
    <w:rsid w:val="00223F0C"/>
    <w:rsid w:val="002249CE"/>
    <w:rsid w:val="00224A1C"/>
    <w:rsid w:val="00235790"/>
    <w:rsid w:val="0023664F"/>
    <w:rsid w:val="00244DE7"/>
    <w:rsid w:val="0024643F"/>
    <w:rsid w:val="0024766F"/>
    <w:rsid w:val="00250027"/>
    <w:rsid w:val="0025014E"/>
    <w:rsid w:val="00251AE9"/>
    <w:rsid w:val="00261FF2"/>
    <w:rsid w:val="002626DA"/>
    <w:rsid w:val="002628A4"/>
    <w:rsid w:val="00263C7F"/>
    <w:rsid w:val="00264FB9"/>
    <w:rsid w:val="002654B2"/>
    <w:rsid w:val="00267CE1"/>
    <w:rsid w:val="0027263E"/>
    <w:rsid w:val="00272C03"/>
    <w:rsid w:val="00274426"/>
    <w:rsid w:val="002813C5"/>
    <w:rsid w:val="00290F47"/>
    <w:rsid w:val="00290FDD"/>
    <w:rsid w:val="00294F5B"/>
    <w:rsid w:val="0029512C"/>
    <w:rsid w:val="002B7465"/>
    <w:rsid w:val="002B7ADC"/>
    <w:rsid w:val="002C26E0"/>
    <w:rsid w:val="002C5C2F"/>
    <w:rsid w:val="002D1326"/>
    <w:rsid w:val="002D3482"/>
    <w:rsid w:val="002D3DDF"/>
    <w:rsid w:val="002D4C8D"/>
    <w:rsid w:val="002D5AAC"/>
    <w:rsid w:val="002D6579"/>
    <w:rsid w:val="002D6833"/>
    <w:rsid w:val="002E12C0"/>
    <w:rsid w:val="002E1E78"/>
    <w:rsid w:val="002E34B5"/>
    <w:rsid w:val="002E397D"/>
    <w:rsid w:val="002E4FF0"/>
    <w:rsid w:val="002E7055"/>
    <w:rsid w:val="002F439C"/>
    <w:rsid w:val="00302692"/>
    <w:rsid w:val="00307B69"/>
    <w:rsid w:val="0031019D"/>
    <w:rsid w:val="00310593"/>
    <w:rsid w:val="00313B2C"/>
    <w:rsid w:val="00313FE6"/>
    <w:rsid w:val="00322C3D"/>
    <w:rsid w:val="00322D5B"/>
    <w:rsid w:val="00322E40"/>
    <w:rsid w:val="003231CA"/>
    <w:rsid w:val="00334AFC"/>
    <w:rsid w:val="0035409F"/>
    <w:rsid w:val="00355398"/>
    <w:rsid w:val="003554BE"/>
    <w:rsid w:val="003624CD"/>
    <w:rsid w:val="00367334"/>
    <w:rsid w:val="00367D9B"/>
    <w:rsid w:val="00373E0F"/>
    <w:rsid w:val="00377BDC"/>
    <w:rsid w:val="00381FD6"/>
    <w:rsid w:val="003861E6"/>
    <w:rsid w:val="00386D60"/>
    <w:rsid w:val="003929FB"/>
    <w:rsid w:val="00395932"/>
    <w:rsid w:val="00397B03"/>
    <w:rsid w:val="003A2457"/>
    <w:rsid w:val="003A469F"/>
    <w:rsid w:val="003A5D36"/>
    <w:rsid w:val="003A62E9"/>
    <w:rsid w:val="003B01C1"/>
    <w:rsid w:val="003B1B51"/>
    <w:rsid w:val="003B443A"/>
    <w:rsid w:val="003B5D0D"/>
    <w:rsid w:val="003C0F2A"/>
    <w:rsid w:val="003C3EA8"/>
    <w:rsid w:val="003C42C1"/>
    <w:rsid w:val="003C5D44"/>
    <w:rsid w:val="003C6899"/>
    <w:rsid w:val="003D0240"/>
    <w:rsid w:val="003D34EB"/>
    <w:rsid w:val="003D438A"/>
    <w:rsid w:val="003D62E0"/>
    <w:rsid w:val="003E1BB6"/>
    <w:rsid w:val="003E267C"/>
    <w:rsid w:val="003E3756"/>
    <w:rsid w:val="003E444B"/>
    <w:rsid w:val="003E532F"/>
    <w:rsid w:val="003F27EB"/>
    <w:rsid w:val="003F291A"/>
    <w:rsid w:val="003F642D"/>
    <w:rsid w:val="003F7A7A"/>
    <w:rsid w:val="00401BA7"/>
    <w:rsid w:val="00410F16"/>
    <w:rsid w:val="0041163C"/>
    <w:rsid w:val="00412E3C"/>
    <w:rsid w:val="004138D4"/>
    <w:rsid w:val="00413B8C"/>
    <w:rsid w:val="004157BB"/>
    <w:rsid w:val="0041683E"/>
    <w:rsid w:val="00421F7D"/>
    <w:rsid w:val="0042548C"/>
    <w:rsid w:val="0042572D"/>
    <w:rsid w:val="00435DE7"/>
    <w:rsid w:val="004366DB"/>
    <w:rsid w:val="004425E6"/>
    <w:rsid w:val="00445A5B"/>
    <w:rsid w:val="004533FE"/>
    <w:rsid w:val="00453B99"/>
    <w:rsid w:val="00460E60"/>
    <w:rsid w:val="00461E33"/>
    <w:rsid w:val="00463A05"/>
    <w:rsid w:val="00464B43"/>
    <w:rsid w:val="004658E4"/>
    <w:rsid w:val="004714EC"/>
    <w:rsid w:val="004721C5"/>
    <w:rsid w:val="004731AC"/>
    <w:rsid w:val="00477132"/>
    <w:rsid w:val="00477909"/>
    <w:rsid w:val="00480CD6"/>
    <w:rsid w:val="0048118D"/>
    <w:rsid w:val="004836F6"/>
    <w:rsid w:val="004864F1"/>
    <w:rsid w:val="00494081"/>
    <w:rsid w:val="004943F0"/>
    <w:rsid w:val="00494E0D"/>
    <w:rsid w:val="004B0B07"/>
    <w:rsid w:val="004B30E4"/>
    <w:rsid w:val="004B33BE"/>
    <w:rsid w:val="004B5CC3"/>
    <w:rsid w:val="004C745B"/>
    <w:rsid w:val="004D17CF"/>
    <w:rsid w:val="004D25D8"/>
    <w:rsid w:val="004E2144"/>
    <w:rsid w:val="004F0A0C"/>
    <w:rsid w:val="004F474B"/>
    <w:rsid w:val="005079D4"/>
    <w:rsid w:val="00507DE6"/>
    <w:rsid w:val="0051058F"/>
    <w:rsid w:val="0051141C"/>
    <w:rsid w:val="00513EB7"/>
    <w:rsid w:val="00515778"/>
    <w:rsid w:val="0052546B"/>
    <w:rsid w:val="005257D4"/>
    <w:rsid w:val="00531503"/>
    <w:rsid w:val="0053154E"/>
    <w:rsid w:val="00536D00"/>
    <w:rsid w:val="00551289"/>
    <w:rsid w:val="005558B0"/>
    <w:rsid w:val="0056188F"/>
    <w:rsid w:val="0056596D"/>
    <w:rsid w:val="005673FC"/>
    <w:rsid w:val="00571308"/>
    <w:rsid w:val="00572163"/>
    <w:rsid w:val="00576984"/>
    <w:rsid w:val="00586437"/>
    <w:rsid w:val="00586C8A"/>
    <w:rsid w:val="00587FEB"/>
    <w:rsid w:val="00597BC6"/>
    <w:rsid w:val="005A2B9E"/>
    <w:rsid w:val="005B208B"/>
    <w:rsid w:val="005B31AD"/>
    <w:rsid w:val="005B40F2"/>
    <w:rsid w:val="005B704A"/>
    <w:rsid w:val="005B7C8D"/>
    <w:rsid w:val="005C00B3"/>
    <w:rsid w:val="005C00B7"/>
    <w:rsid w:val="005C6FC4"/>
    <w:rsid w:val="005D620B"/>
    <w:rsid w:val="005D626B"/>
    <w:rsid w:val="005D7DB2"/>
    <w:rsid w:val="005D7ECB"/>
    <w:rsid w:val="005E5093"/>
    <w:rsid w:val="005F1891"/>
    <w:rsid w:val="005F635A"/>
    <w:rsid w:val="005F6EF7"/>
    <w:rsid w:val="005F7571"/>
    <w:rsid w:val="005F7BEF"/>
    <w:rsid w:val="0060093E"/>
    <w:rsid w:val="00605C7C"/>
    <w:rsid w:val="00607DF8"/>
    <w:rsid w:val="0061170C"/>
    <w:rsid w:val="00612C31"/>
    <w:rsid w:val="00617266"/>
    <w:rsid w:val="0062107F"/>
    <w:rsid w:val="00622945"/>
    <w:rsid w:val="006244A5"/>
    <w:rsid w:val="00624F8B"/>
    <w:rsid w:val="00626F90"/>
    <w:rsid w:val="00627F5F"/>
    <w:rsid w:val="00631DCD"/>
    <w:rsid w:val="006363C1"/>
    <w:rsid w:val="00643668"/>
    <w:rsid w:val="0064673E"/>
    <w:rsid w:val="00646F12"/>
    <w:rsid w:val="006477FA"/>
    <w:rsid w:val="00652F5B"/>
    <w:rsid w:val="00653109"/>
    <w:rsid w:val="00655E6F"/>
    <w:rsid w:val="00655E76"/>
    <w:rsid w:val="00656943"/>
    <w:rsid w:val="006618EB"/>
    <w:rsid w:val="0066515F"/>
    <w:rsid w:val="00674087"/>
    <w:rsid w:val="00677076"/>
    <w:rsid w:val="00680D15"/>
    <w:rsid w:val="006840E7"/>
    <w:rsid w:val="006843ED"/>
    <w:rsid w:val="006A066A"/>
    <w:rsid w:val="006A4B0A"/>
    <w:rsid w:val="006B2033"/>
    <w:rsid w:val="006B2E5C"/>
    <w:rsid w:val="006B31F9"/>
    <w:rsid w:val="006C7C6F"/>
    <w:rsid w:val="006D1B9D"/>
    <w:rsid w:val="006D5409"/>
    <w:rsid w:val="006D725B"/>
    <w:rsid w:val="006E2913"/>
    <w:rsid w:val="006F1A5E"/>
    <w:rsid w:val="006F214D"/>
    <w:rsid w:val="006F6806"/>
    <w:rsid w:val="0070304E"/>
    <w:rsid w:val="007031C9"/>
    <w:rsid w:val="007031FD"/>
    <w:rsid w:val="00710788"/>
    <w:rsid w:val="00712D07"/>
    <w:rsid w:val="00713628"/>
    <w:rsid w:val="007154CB"/>
    <w:rsid w:val="007158BB"/>
    <w:rsid w:val="0072038F"/>
    <w:rsid w:val="00724DBF"/>
    <w:rsid w:val="00725468"/>
    <w:rsid w:val="00733659"/>
    <w:rsid w:val="00737D6E"/>
    <w:rsid w:val="00740A5B"/>
    <w:rsid w:val="00743D6C"/>
    <w:rsid w:val="00751D3E"/>
    <w:rsid w:val="007549F0"/>
    <w:rsid w:val="00755B83"/>
    <w:rsid w:val="0076085E"/>
    <w:rsid w:val="00761FCB"/>
    <w:rsid w:val="00762D32"/>
    <w:rsid w:val="00763944"/>
    <w:rsid w:val="00766BFD"/>
    <w:rsid w:val="00770A04"/>
    <w:rsid w:val="007748E5"/>
    <w:rsid w:val="00776A13"/>
    <w:rsid w:val="00776D83"/>
    <w:rsid w:val="007809D6"/>
    <w:rsid w:val="0078202D"/>
    <w:rsid w:val="00785820"/>
    <w:rsid w:val="00790B37"/>
    <w:rsid w:val="00790C61"/>
    <w:rsid w:val="00790F40"/>
    <w:rsid w:val="00794A47"/>
    <w:rsid w:val="007953BF"/>
    <w:rsid w:val="00795DF7"/>
    <w:rsid w:val="007A19A7"/>
    <w:rsid w:val="007A2BE0"/>
    <w:rsid w:val="007A31B2"/>
    <w:rsid w:val="007A4F10"/>
    <w:rsid w:val="007A5A86"/>
    <w:rsid w:val="007B139B"/>
    <w:rsid w:val="007B1892"/>
    <w:rsid w:val="007B1AB0"/>
    <w:rsid w:val="007B2595"/>
    <w:rsid w:val="007B2FEF"/>
    <w:rsid w:val="007B7E32"/>
    <w:rsid w:val="007D2B9B"/>
    <w:rsid w:val="007D48D5"/>
    <w:rsid w:val="007D6CDB"/>
    <w:rsid w:val="007F19BD"/>
    <w:rsid w:val="008003C1"/>
    <w:rsid w:val="0081207F"/>
    <w:rsid w:val="00812838"/>
    <w:rsid w:val="0081538B"/>
    <w:rsid w:val="0081595A"/>
    <w:rsid w:val="008170EA"/>
    <w:rsid w:val="008311BB"/>
    <w:rsid w:val="00832962"/>
    <w:rsid w:val="00835C7A"/>
    <w:rsid w:val="008403AD"/>
    <w:rsid w:val="00850342"/>
    <w:rsid w:val="0085312A"/>
    <w:rsid w:val="00855877"/>
    <w:rsid w:val="00860937"/>
    <w:rsid w:val="00873059"/>
    <w:rsid w:val="00875CA6"/>
    <w:rsid w:val="008820D2"/>
    <w:rsid w:val="00883999"/>
    <w:rsid w:val="008863B2"/>
    <w:rsid w:val="0088685E"/>
    <w:rsid w:val="008930DB"/>
    <w:rsid w:val="008943FD"/>
    <w:rsid w:val="00894962"/>
    <w:rsid w:val="00897702"/>
    <w:rsid w:val="0089782B"/>
    <w:rsid w:val="008B14D1"/>
    <w:rsid w:val="008B496C"/>
    <w:rsid w:val="008C2113"/>
    <w:rsid w:val="008C41CD"/>
    <w:rsid w:val="008C4423"/>
    <w:rsid w:val="008D330D"/>
    <w:rsid w:val="008D3417"/>
    <w:rsid w:val="008D378E"/>
    <w:rsid w:val="008D6071"/>
    <w:rsid w:val="008E25F6"/>
    <w:rsid w:val="008E4EF1"/>
    <w:rsid w:val="008E6454"/>
    <w:rsid w:val="008F0601"/>
    <w:rsid w:val="008F0FCF"/>
    <w:rsid w:val="008F119B"/>
    <w:rsid w:val="008F2826"/>
    <w:rsid w:val="008F54B0"/>
    <w:rsid w:val="008F674F"/>
    <w:rsid w:val="008F7838"/>
    <w:rsid w:val="00901C9D"/>
    <w:rsid w:val="009035D1"/>
    <w:rsid w:val="0090796B"/>
    <w:rsid w:val="009124DB"/>
    <w:rsid w:val="0091415C"/>
    <w:rsid w:val="00916A1A"/>
    <w:rsid w:val="00920103"/>
    <w:rsid w:val="0092207E"/>
    <w:rsid w:val="00922803"/>
    <w:rsid w:val="00935DF3"/>
    <w:rsid w:val="009376C3"/>
    <w:rsid w:val="00943EE7"/>
    <w:rsid w:val="0094640C"/>
    <w:rsid w:val="009477FA"/>
    <w:rsid w:val="00947BD1"/>
    <w:rsid w:val="00947E60"/>
    <w:rsid w:val="0095059B"/>
    <w:rsid w:val="00951D50"/>
    <w:rsid w:val="00953460"/>
    <w:rsid w:val="0095754F"/>
    <w:rsid w:val="0096064B"/>
    <w:rsid w:val="0097367F"/>
    <w:rsid w:val="0097484B"/>
    <w:rsid w:val="009749E4"/>
    <w:rsid w:val="0097552E"/>
    <w:rsid w:val="00975D55"/>
    <w:rsid w:val="009773AC"/>
    <w:rsid w:val="009774C8"/>
    <w:rsid w:val="009776DD"/>
    <w:rsid w:val="00977BFC"/>
    <w:rsid w:val="0099033C"/>
    <w:rsid w:val="00991979"/>
    <w:rsid w:val="009953C8"/>
    <w:rsid w:val="00996C0D"/>
    <w:rsid w:val="009971FA"/>
    <w:rsid w:val="009A631B"/>
    <w:rsid w:val="009B0C99"/>
    <w:rsid w:val="009B20DC"/>
    <w:rsid w:val="009B24BA"/>
    <w:rsid w:val="009B297D"/>
    <w:rsid w:val="009B5065"/>
    <w:rsid w:val="009B5916"/>
    <w:rsid w:val="009B67B0"/>
    <w:rsid w:val="009C0763"/>
    <w:rsid w:val="009C6F3C"/>
    <w:rsid w:val="009C7E01"/>
    <w:rsid w:val="009D11A0"/>
    <w:rsid w:val="009D20E8"/>
    <w:rsid w:val="009D7563"/>
    <w:rsid w:val="009E04AE"/>
    <w:rsid w:val="009E1A0C"/>
    <w:rsid w:val="009E6E93"/>
    <w:rsid w:val="009E6EB8"/>
    <w:rsid w:val="009E765B"/>
    <w:rsid w:val="009F4688"/>
    <w:rsid w:val="009F7689"/>
    <w:rsid w:val="00A01CB3"/>
    <w:rsid w:val="00A0221D"/>
    <w:rsid w:val="00A02B9C"/>
    <w:rsid w:val="00A02DE2"/>
    <w:rsid w:val="00A156E1"/>
    <w:rsid w:val="00A27EF7"/>
    <w:rsid w:val="00A32797"/>
    <w:rsid w:val="00A35292"/>
    <w:rsid w:val="00A42EC3"/>
    <w:rsid w:val="00A51AA8"/>
    <w:rsid w:val="00A51B6D"/>
    <w:rsid w:val="00A52850"/>
    <w:rsid w:val="00A55327"/>
    <w:rsid w:val="00A62CE5"/>
    <w:rsid w:val="00A6566F"/>
    <w:rsid w:val="00A67EC8"/>
    <w:rsid w:val="00A70D1E"/>
    <w:rsid w:val="00A72CDB"/>
    <w:rsid w:val="00A768AA"/>
    <w:rsid w:val="00A77351"/>
    <w:rsid w:val="00A863F6"/>
    <w:rsid w:val="00A914A7"/>
    <w:rsid w:val="00A91D95"/>
    <w:rsid w:val="00A93BEF"/>
    <w:rsid w:val="00A96352"/>
    <w:rsid w:val="00A974F4"/>
    <w:rsid w:val="00AA0151"/>
    <w:rsid w:val="00AA2341"/>
    <w:rsid w:val="00AA59F6"/>
    <w:rsid w:val="00AB1888"/>
    <w:rsid w:val="00AB31FF"/>
    <w:rsid w:val="00AB3680"/>
    <w:rsid w:val="00AB373B"/>
    <w:rsid w:val="00AB5D65"/>
    <w:rsid w:val="00AC0E1F"/>
    <w:rsid w:val="00AC234B"/>
    <w:rsid w:val="00AC385C"/>
    <w:rsid w:val="00AC3F58"/>
    <w:rsid w:val="00AC4806"/>
    <w:rsid w:val="00AD47C9"/>
    <w:rsid w:val="00AE6F12"/>
    <w:rsid w:val="00AE762F"/>
    <w:rsid w:val="00AF0BB4"/>
    <w:rsid w:val="00AF472A"/>
    <w:rsid w:val="00B00610"/>
    <w:rsid w:val="00B00B04"/>
    <w:rsid w:val="00B014E7"/>
    <w:rsid w:val="00B020C4"/>
    <w:rsid w:val="00B04F78"/>
    <w:rsid w:val="00B07964"/>
    <w:rsid w:val="00B10141"/>
    <w:rsid w:val="00B131BF"/>
    <w:rsid w:val="00B1475C"/>
    <w:rsid w:val="00B15883"/>
    <w:rsid w:val="00B23D06"/>
    <w:rsid w:val="00B25AFC"/>
    <w:rsid w:val="00B26300"/>
    <w:rsid w:val="00B278C8"/>
    <w:rsid w:val="00B3403E"/>
    <w:rsid w:val="00B40741"/>
    <w:rsid w:val="00B45EF2"/>
    <w:rsid w:val="00B503D5"/>
    <w:rsid w:val="00B51374"/>
    <w:rsid w:val="00B5277F"/>
    <w:rsid w:val="00B56CC2"/>
    <w:rsid w:val="00B574D0"/>
    <w:rsid w:val="00B60FB6"/>
    <w:rsid w:val="00B62283"/>
    <w:rsid w:val="00B62CAC"/>
    <w:rsid w:val="00B6426E"/>
    <w:rsid w:val="00B653E4"/>
    <w:rsid w:val="00B72AB7"/>
    <w:rsid w:val="00B81BD1"/>
    <w:rsid w:val="00B82C45"/>
    <w:rsid w:val="00B84D0E"/>
    <w:rsid w:val="00B955EF"/>
    <w:rsid w:val="00B9693E"/>
    <w:rsid w:val="00B97DDB"/>
    <w:rsid w:val="00BA3FEC"/>
    <w:rsid w:val="00BA4907"/>
    <w:rsid w:val="00BA6C84"/>
    <w:rsid w:val="00BB0802"/>
    <w:rsid w:val="00BB1A6E"/>
    <w:rsid w:val="00BB3628"/>
    <w:rsid w:val="00BB7439"/>
    <w:rsid w:val="00BB7F07"/>
    <w:rsid w:val="00BC3E21"/>
    <w:rsid w:val="00BC56ED"/>
    <w:rsid w:val="00BC7A8D"/>
    <w:rsid w:val="00BD0B80"/>
    <w:rsid w:val="00BD2A3E"/>
    <w:rsid w:val="00BE0FBC"/>
    <w:rsid w:val="00BE1B2A"/>
    <w:rsid w:val="00BE7FF8"/>
    <w:rsid w:val="00BF4F74"/>
    <w:rsid w:val="00C00030"/>
    <w:rsid w:val="00C03656"/>
    <w:rsid w:val="00C10D0E"/>
    <w:rsid w:val="00C13A25"/>
    <w:rsid w:val="00C166C8"/>
    <w:rsid w:val="00C20C58"/>
    <w:rsid w:val="00C232DB"/>
    <w:rsid w:val="00C237B7"/>
    <w:rsid w:val="00C244B1"/>
    <w:rsid w:val="00C25553"/>
    <w:rsid w:val="00C303BE"/>
    <w:rsid w:val="00C31C45"/>
    <w:rsid w:val="00C3217B"/>
    <w:rsid w:val="00C36BB8"/>
    <w:rsid w:val="00C409AA"/>
    <w:rsid w:val="00C47A72"/>
    <w:rsid w:val="00C54F7E"/>
    <w:rsid w:val="00C571B3"/>
    <w:rsid w:val="00C57A67"/>
    <w:rsid w:val="00C6398E"/>
    <w:rsid w:val="00C71681"/>
    <w:rsid w:val="00C748E0"/>
    <w:rsid w:val="00C818F8"/>
    <w:rsid w:val="00C82B58"/>
    <w:rsid w:val="00C90413"/>
    <w:rsid w:val="00C95907"/>
    <w:rsid w:val="00CA2920"/>
    <w:rsid w:val="00CA4D45"/>
    <w:rsid w:val="00CA6E8D"/>
    <w:rsid w:val="00CB57BE"/>
    <w:rsid w:val="00CB5D99"/>
    <w:rsid w:val="00CB64AF"/>
    <w:rsid w:val="00CC3978"/>
    <w:rsid w:val="00CC6E69"/>
    <w:rsid w:val="00CE2CCC"/>
    <w:rsid w:val="00CE48F0"/>
    <w:rsid w:val="00CF0386"/>
    <w:rsid w:val="00CF3495"/>
    <w:rsid w:val="00CF4366"/>
    <w:rsid w:val="00CF4888"/>
    <w:rsid w:val="00CF716E"/>
    <w:rsid w:val="00CF7512"/>
    <w:rsid w:val="00D02B7F"/>
    <w:rsid w:val="00D05A2F"/>
    <w:rsid w:val="00D11964"/>
    <w:rsid w:val="00D16234"/>
    <w:rsid w:val="00D21D87"/>
    <w:rsid w:val="00D24744"/>
    <w:rsid w:val="00D24F33"/>
    <w:rsid w:val="00D25FDA"/>
    <w:rsid w:val="00D30858"/>
    <w:rsid w:val="00D32E3F"/>
    <w:rsid w:val="00D36623"/>
    <w:rsid w:val="00D370EE"/>
    <w:rsid w:val="00D41336"/>
    <w:rsid w:val="00D4219D"/>
    <w:rsid w:val="00D52391"/>
    <w:rsid w:val="00D532AB"/>
    <w:rsid w:val="00D54F29"/>
    <w:rsid w:val="00D61104"/>
    <w:rsid w:val="00D62A98"/>
    <w:rsid w:val="00D66AC7"/>
    <w:rsid w:val="00D703DF"/>
    <w:rsid w:val="00D7069E"/>
    <w:rsid w:val="00D7103E"/>
    <w:rsid w:val="00D71619"/>
    <w:rsid w:val="00D874F4"/>
    <w:rsid w:val="00D920D1"/>
    <w:rsid w:val="00DA1A59"/>
    <w:rsid w:val="00DB3933"/>
    <w:rsid w:val="00DB445E"/>
    <w:rsid w:val="00DC0C2A"/>
    <w:rsid w:val="00DC1726"/>
    <w:rsid w:val="00DC443A"/>
    <w:rsid w:val="00DD17CB"/>
    <w:rsid w:val="00DD6D18"/>
    <w:rsid w:val="00DD7F7D"/>
    <w:rsid w:val="00DE27F1"/>
    <w:rsid w:val="00DE634F"/>
    <w:rsid w:val="00DE6A86"/>
    <w:rsid w:val="00DF0231"/>
    <w:rsid w:val="00DF0C75"/>
    <w:rsid w:val="00E03349"/>
    <w:rsid w:val="00E04750"/>
    <w:rsid w:val="00E130A4"/>
    <w:rsid w:val="00E146F7"/>
    <w:rsid w:val="00E149D6"/>
    <w:rsid w:val="00E16BCF"/>
    <w:rsid w:val="00E174D3"/>
    <w:rsid w:val="00E22AE6"/>
    <w:rsid w:val="00E24405"/>
    <w:rsid w:val="00E245B1"/>
    <w:rsid w:val="00E259CF"/>
    <w:rsid w:val="00E30CEB"/>
    <w:rsid w:val="00E319B0"/>
    <w:rsid w:val="00E31CBF"/>
    <w:rsid w:val="00E3429A"/>
    <w:rsid w:val="00E3686B"/>
    <w:rsid w:val="00E36A06"/>
    <w:rsid w:val="00E37561"/>
    <w:rsid w:val="00E42ED1"/>
    <w:rsid w:val="00E65B5B"/>
    <w:rsid w:val="00E67964"/>
    <w:rsid w:val="00E7070C"/>
    <w:rsid w:val="00E70C3D"/>
    <w:rsid w:val="00E73D31"/>
    <w:rsid w:val="00E744A0"/>
    <w:rsid w:val="00E81EE5"/>
    <w:rsid w:val="00E830DC"/>
    <w:rsid w:val="00E83766"/>
    <w:rsid w:val="00E871E7"/>
    <w:rsid w:val="00E90941"/>
    <w:rsid w:val="00E92725"/>
    <w:rsid w:val="00E96298"/>
    <w:rsid w:val="00EA3709"/>
    <w:rsid w:val="00EA6247"/>
    <w:rsid w:val="00EB04C4"/>
    <w:rsid w:val="00EB3C2F"/>
    <w:rsid w:val="00EB6103"/>
    <w:rsid w:val="00EC1F57"/>
    <w:rsid w:val="00EC20AC"/>
    <w:rsid w:val="00EC4103"/>
    <w:rsid w:val="00ED6772"/>
    <w:rsid w:val="00EF0450"/>
    <w:rsid w:val="00EF6270"/>
    <w:rsid w:val="00F002DA"/>
    <w:rsid w:val="00F00BB5"/>
    <w:rsid w:val="00F0178C"/>
    <w:rsid w:val="00F02C34"/>
    <w:rsid w:val="00F02D64"/>
    <w:rsid w:val="00F02FF0"/>
    <w:rsid w:val="00F103FD"/>
    <w:rsid w:val="00F10A65"/>
    <w:rsid w:val="00F10DFB"/>
    <w:rsid w:val="00F11312"/>
    <w:rsid w:val="00F14C98"/>
    <w:rsid w:val="00F22DE5"/>
    <w:rsid w:val="00F30D88"/>
    <w:rsid w:val="00F320AA"/>
    <w:rsid w:val="00F345BA"/>
    <w:rsid w:val="00F346FD"/>
    <w:rsid w:val="00F3535D"/>
    <w:rsid w:val="00F41D0E"/>
    <w:rsid w:val="00F4308F"/>
    <w:rsid w:val="00F5636C"/>
    <w:rsid w:val="00F567A0"/>
    <w:rsid w:val="00F60B9F"/>
    <w:rsid w:val="00F6420F"/>
    <w:rsid w:val="00F660E6"/>
    <w:rsid w:val="00F70313"/>
    <w:rsid w:val="00F714E2"/>
    <w:rsid w:val="00F81E22"/>
    <w:rsid w:val="00F85F60"/>
    <w:rsid w:val="00FA075D"/>
    <w:rsid w:val="00FA4F07"/>
    <w:rsid w:val="00FA53F5"/>
    <w:rsid w:val="00FA6DE2"/>
    <w:rsid w:val="00FB13FA"/>
    <w:rsid w:val="00FB1D64"/>
    <w:rsid w:val="00FC2FFE"/>
    <w:rsid w:val="00FC7806"/>
    <w:rsid w:val="00FD3A57"/>
    <w:rsid w:val="00FD3A8E"/>
    <w:rsid w:val="00FD41CB"/>
    <w:rsid w:val="00FD59D7"/>
    <w:rsid w:val="00FE1CE6"/>
    <w:rsid w:val="00FE32B4"/>
    <w:rsid w:val="00FE6216"/>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E2E82"/>
  <w14:defaultImageDpi w14:val="300"/>
  <w15:docId w15:val="{B618E954-A9EF-41A6-9493-8E0EBDE5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C03656"/>
    <w:pPr>
      <w:keepNext/>
      <w:numPr>
        <w:numId w:val="35"/>
      </w:numPr>
      <w:outlineLvl w:val="0"/>
    </w:pPr>
    <w:rPr>
      <w:rFonts w:eastAsiaTheme="majorEastAsia"/>
      <w:b/>
      <w:bCs/>
      <w:sz w:val="18"/>
      <w:szCs w:val="32"/>
    </w:rPr>
  </w:style>
  <w:style w:type="paragraph" w:styleId="Heading2">
    <w:name w:val="heading 2"/>
    <w:basedOn w:val="Normal"/>
    <w:next w:val="Normal"/>
    <w:link w:val="Heading2Char"/>
    <w:autoRedefine/>
    <w:uiPriority w:val="9"/>
    <w:unhideWhenUsed/>
    <w:qFormat/>
    <w:rsid w:val="00536D0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56"/>
    <w:rPr>
      <w:rFonts w:eastAsiaTheme="majorEastAsia"/>
      <w:b/>
      <w:bCs/>
      <w:sz w:val="18"/>
      <w:szCs w:val="32"/>
    </w:rPr>
  </w:style>
  <w:style w:type="character" w:customStyle="1" w:styleId="Heading2Char">
    <w:name w:val="Heading 2 Char"/>
    <w:basedOn w:val="DefaultParagraphFont"/>
    <w:link w:val="Heading2"/>
    <w:uiPriority w:val="9"/>
    <w:rsid w:val="00536D0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paragraph" w:customStyle="1" w:styleId="Default">
    <w:name w:val="Default"/>
    <w:rsid w:val="0062107F"/>
    <w:pPr>
      <w:autoSpaceDE w:val="0"/>
      <w:autoSpaceDN w:val="0"/>
      <w:adjustRightInd w:val="0"/>
    </w:pPr>
    <w:rPr>
      <w:rFonts w:ascii="Verdana" w:eastAsia="Times New Roman" w:hAnsi="Verdana" w:cs="Verdana"/>
      <w:color w:val="000000"/>
    </w:rPr>
  </w:style>
  <w:style w:type="paragraph" w:styleId="BodyText">
    <w:name w:val="Body Text"/>
    <w:basedOn w:val="Normal"/>
    <w:link w:val="BodyTextChar"/>
    <w:rsid w:val="00C31C45"/>
    <w:rPr>
      <w:rFonts w:ascii="Arial" w:eastAsia="Times New Roman" w:hAnsi="Arial"/>
      <w:b/>
      <w:szCs w:val="20"/>
    </w:rPr>
  </w:style>
  <w:style w:type="character" w:customStyle="1" w:styleId="BodyTextChar">
    <w:name w:val="Body Text Char"/>
    <w:basedOn w:val="DefaultParagraphFont"/>
    <w:link w:val="BodyText"/>
    <w:rsid w:val="00C31C45"/>
    <w:rPr>
      <w:rFonts w:ascii="Arial" w:eastAsia="Times New Roman" w:hAnsi="Arial"/>
      <w:b/>
      <w:szCs w:val="20"/>
    </w:rPr>
  </w:style>
  <w:style w:type="paragraph" w:styleId="CommentText">
    <w:name w:val="annotation text"/>
    <w:basedOn w:val="Normal"/>
    <w:link w:val="CommentTextChar"/>
    <w:rsid w:val="004F0A0C"/>
    <w:rPr>
      <w:rFonts w:eastAsia="Times New Roman"/>
      <w:sz w:val="20"/>
      <w:szCs w:val="20"/>
    </w:rPr>
  </w:style>
  <w:style w:type="character" w:customStyle="1" w:styleId="CommentTextChar">
    <w:name w:val="Comment Text Char"/>
    <w:basedOn w:val="DefaultParagraphFont"/>
    <w:link w:val="CommentText"/>
    <w:rsid w:val="004F0A0C"/>
    <w:rPr>
      <w:rFonts w:eastAsia="Times New Roman"/>
      <w:sz w:val="20"/>
      <w:szCs w:val="20"/>
    </w:rPr>
  </w:style>
  <w:style w:type="character" w:styleId="CommentReference">
    <w:name w:val="annotation reference"/>
    <w:basedOn w:val="DefaultParagraphFont"/>
    <w:uiPriority w:val="99"/>
    <w:semiHidden/>
    <w:unhideWhenUsed/>
    <w:rsid w:val="006840E7"/>
    <w:rPr>
      <w:sz w:val="16"/>
      <w:szCs w:val="16"/>
    </w:rPr>
  </w:style>
  <w:style w:type="paragraph" w:styleId="CommentSubject">
    <w:name w:val="annotation subject"/>
    <w:basedOn w:val="CommentText"/>
    <w:next w:val="CommentText"/>
    <w:link w:val="CommentSubjectChar"/>
    <w:uiPriority w:val="99"/>
    <w:semiHidden/>
    <w:unhideWhenUsed/>
    <w:rsid w:val="006840E7"/>
    <w:rPr>
      <w:rFonts w:eastAsiaTheme="minorEastAsia"/>
      <w:b/>
      <w:bCs/>
    </w:rPr>
  </w:style>
  <w:style w:type="character" w:customStyle="1" w:styleId="CommentSubjectChar">
    <w:name w:val="Comment Subject Char"/>
    <w:basedOn w:val="CommentTextChar"/>
    <w:link w:val="CommentSubject"/>
    <w:uiPriority w:val="99"/>
    <w:semiHidden/>
    <w:rsid w:val="006840E7"/>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473638968">
      <w:bodyDiv w:val="1"/>
      <w:marLeft w:val="0"/>
      <w:marRight w:val="0"/>
      <w:marTop w:val="0"/>
      <w:marBottom w:val="0"/>
      <w:divBdr>
        <w:top w:val="none" w:sz="0" w:space="0" w:color="auto"/>
        <w:left w:val="none" w:sz="0" w:space="0" w:color="auto"/>
        <w:bottom w:val="none" w:sz="0" w:space="0" w:color="auto"/>
        <w:right w:val="none" w:sz="0" w:space="0" w:color="auto"/>
      </w:divBdr>
    </w:div>
    <w:div w:id="869076636">
      <w:bodyDiv w:val="1"/>
      <w:marLeft w:val="0"/>
      <w:marRight w:val="0"/>
      <w:marTop w:val="0"/>
      <w:marBottom w:val="0"/>
      <w:divBdr>
        <w:top w:val="none" w:sz="0" w:space="0" w:color="auto"/>
        <w:left w:val="none" w:sz="0" w:space="0" w:color="auto"/>
        <w:bottom w:val="none" w:sz="0" w:space="0" w:color="auto"/>
        <w:right w:val="none" w:sz="0" w:space="0" w:color="auto"/>
      </w:divBdr>
    </w:div>
    <w:div w:id="935751770">
      <w:bodyDiv w:val="1"/>
      <w:marLeft w:val="0"/>
      <w:marRight w:val="0"/>
      <w:marTop w:val="0"/>
      <w:marBottom w:val="0"/>
      <w:divBdr>
        <w:top w:val="none" w:sz="0" w:space="0" w:color="auto"/>
        <w:left w:val="none" w:sz="0" w:space="0" w:color="auto"/>
        <w:bottom w:val="none" w:sz="0" w:space="0" w:color="auto"/>
        <w:right w:val="none" w:sz="0" w:space="0" w:color="auto"/>
      </w:divBdr>
    </w:div>
    <w:div w:id="952709715">
      <w:bodyDiv w:val="1"/>
      <w:marLeft w:val="0"/>
      <w:marRight w:val="0"/>
      <w:marTop w:val="0"/>
      <w:marBottom w:val="0"/>
      <w:divBdr>
        <w:top w:val="none" w:sz="0" w:space="0" w:color="auto"/>
        <w:left w:val="none" w:sz="0" w:space="0" w:color="auto"/>
        <w:bottom w:val="none" w:sz="0" w:space="0" w:color="auto"/>
        <w:right w:val="none" w:sz="0" w:space="0" w:color="auto"/>
      </w:divBdr>
    </w:div>
    <w:div w:id="1069764769">
      <w:bodyDiv w:val="1"/>
      <w:marLeft w:val="0"/>
      <w:marRight w:val="0"/>
      <w:marTop w:val="0"/>
      <w:marBottom w:val="0"/>
      <w:divBdr>
        <w:top w:val="none" w:sz="0" w:space="0" w:color="auto"/>
        <w:left w:val="none" w:sz="0" w:space="0" w:color="auto"/>
        <w:bottom w:val="none" w:sz="0" w:space="0" w:color="auto"/>
        <w:right w:val="none" w:sz="0" w:space="0" w:color="auto"/>
      </w:divBdr>
    </w:div>
    <w:div w:id="1436824970">
      <w:bodyDiv w:val="1"/>
      <w:marLeft w:val="0"/>
      <w:marRight w:val="0"/>
      <w:marTop w:val="0"/>
      <w:marBottom w:val="0"/>
      <w:divBdr>
        <w:top w:val="none" w:sz="0" w:space="0" w:color="auto"/>
        <w:left w:val="none" w:sz="0" w:space="0" w:color="auto"/>
        <w:bottom w:val="none" w:sz="0" w:space="0" w:color="auto"/>
        <w:right w:val="none" w:sz="0" w:space="0" w:color="auto"/>
      </w:divBdr>
    </w:div>
    <w:div w:id="1490637256">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 w:id="1664309699">
      <w:bodyDiv w:val="1"/>
      <w:marLeft w:val="0"/>
      <w:marRight w:val="0"/>
      <w:marTop w:val="0"/>
      <w:marBottom w:val="0"/>
      <w:divBdr>
        <w:top w:val="none" w:sz="0" w:space="0" w:color="auto"/>
        <w:left w:val="none" w:sz="0" w:space="0" w:color="auto"/>
        <w:bottom w:val="none" w:sz="0" w:space="0" w:color="auto"/>
        <w:right w:val="none" w:sz="0" w:space="0" w:color="auto"/>
      </w:divBdr>
    </w:div>
    <w:div w:id="1736201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ra.com/publications-jounal.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y.libguides.com/content.php?pid=59733&amp;sid=442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pyright.gov/circs/circ01.pdf" TargetMode="External"/><Relationship Id="rId4" Type="http://schemas.openxmlformats.org/officeDocument/2006/relationships/settings" Target="settings.xml"/><Relationship Id="rId9" Type="http://schemas.openxmlformats.org/officeDocument/2006/relationships/hyperlink" Target="http://journals.lww.com/aidsonline/pages/currenttoc.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C7DD-F770-49C1-8F8F-CCF555C0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Kristen Brahier</cp:lastModifiedBy>
  <cp:revision>41</cp:revision>
  <cp:lastPrinted>2013-11-14T16:38:00Z</cp:lastPrinted>
  <dcterms:created xsi:type="dcterms:W3CDTF">2022-07-26T13:57:00Z</dcterms:created>
  <dcterms:modified xsi:type="dcterms:W3CDTF">2022-07-26T14:39:00Z</dcterms:modified>
</cp:coreProperties>
</file>